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92AC8" w14:textId="77777777" w:rsidR="00AC7CEA" w:rsidRPr="00653E57" w:rsidRDefault="00AC7CEA" w:rsidP="00A11565">
      <w:pPr>
        <w:spacing w:line="240" w:lineRule="auto"/>
        <w:jc w:val="center"/>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Сравнительная таблица</w:t>
      </w:r>
    </w:p>
    <w:p w14:paraId="17592AC9" w14:textId="54DAAD1D" w:rsidR="00AC7CEA" w:rsidRDefault="00AC7CEA" w:rsidP="00A11565">
      <w:pPr>
        <w:spacing w:after="0" w:line="240" w:lineRule="auto"/>
        <w:ind w:firstLine="720"/>
        <w:jc w:val="both"/>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 xml:space="preserve">к проекту Закона Кыргызской Республики «О внесении изменений в некоторые законодательные акты Кыргызской Республики (Законы </w:t>
      </w:r>
      <w:r w:rsidR="00160DA5" w:rsidRPr="00653E57">
        <w:rPr>
          <w:rFonts w:ascii="Times New Roman" w:hAnsi="Times New Roman" w:cs="Times New Roman"/>
          <w:b/>
          <w:bCs/>
          <w:sz w:val="24"/>
          <w:szCs w:val="24"/>
          <w:lang w:val="ru-RU"/>
        </w:rPr>
        <w:t xml:space="preserve">Кыргызской Республики </w:t>
      </w:r>
      <w:r w:rsidRPr="00653E57">
        <w:rPr>
          <w:rFonts w:ascii="Times New Roman" w:hAnsi="Times New Roman" w:cs="Times New Roman"/>
          <w:b/>
          <w:bCs/>
          <w:sz w:val="24"/>
          <w:szCs w:val="24"/>
          <w:lang w:val="ru-RU"/>
        </w:rPr>
        <w:t>«Об акционерных обществах», «О недрах»</w:t>
      </w:r>
      <w:r w:rsidR="00825FE5" w:rsidRPr="00653E57">
        <w:rPr>
          <w:rFonts w:ascii="Times New Roman" w:hAnsi="Times New Roman" w:cs="Times New Roman"/>
          <w:b/>
          <w:bCs/>
          <w:sz w:val="24"/>
          <w:szCs w:val="24"/>
          <w:lang w:val="ru-RU"/>
        </w:rPr>
        <w:t>, «</w:t>
      </w:r>
      <w:r w:rsidR="00D567BD" w:rsidRPr="00653E57">
        <w:rPr>
          <w:rFonts w:ascii="Times New Roman" w:hAnsi="Times New Roman" w:cs="Times New Roman"/>
          <w:b/>
          <w:bCs/>
          <w:sz w:val="24"/>
          <w:szCs w:val="24"/>
          <w:lang w:val="ru-RU"/>
        </w:rPr>
        <w:t>О стратегических объектах Кыргызской Республики</w:t>
      </w:r>
      <w:r w:rsidR="00825FE5" w:rsidRPr="0009680B">
        <w:rPr>
          <w:rFonts w:ascii="Times New Roman" w:hAnsi="Times New Roman" w:cs="Times New Roman"/>
          <w:b/>
          <w:bCs/>
          <w:sz w:val="24"/>
          <w:szCs w:val="24"/>
          <w:lang w:val="ru-RU"/>
        </w:rPr>
        <w:t>»</w:t>
      </w:r>
      <w:r w:rsidR="0009680B" w:rsidRPr="0009680B">
        <w:rPr>
          <w:rFonts w:ascii="Times New Roman" w:hAnsi="Times New Roman" w:cs="Times New Roman"/>
          <w:b/>
          <w:bCs/>
          <w:sz w:val="24"/>
          <w:szCs w:val="24"/>
          <w:lang w:val="ru-RU"/>
        </w:rPr>
        <w:t xml:space="preserve">, </w:t>
      </w:r>
      <w:r w:rsidR="0009680B" w:rsidRPr="0009680B">
        <w:rPr>
          <w:rFonts w:ascii="Times New Roman" w:eastAsia="Times New Roman" w:hAnsi="Times New Roman" w:cs="Times New Roman"/>
          <w:b/>
          <w:color w:val="000000"/>
          <w:sz w:val="24"/>
          <w:szCs w:val="24"/>
          <w:lang w:val="ru-RU"/>
        </w:rPr>
        <w:t>«О приватизации государственной собственности в Кыргызской Республике»</w:t>
      </w:r>
      <w:r w:rsidR="00826FE0">
        <w:rPr>
          <w:rFonts w:ascii="Times New Roman" w:eastAsia="Times New Roman" w:hAnsi="Times New Roman" w:cs="Times New Roman"/>
          <w:b/>
          <w:color w:val="000000"/>
          <w:sz w:val="24"/>
          <w:szCs w:val="24"/>
          <w:lang w:val="ru-RU"/>
        </w:rPr>
        <w:t xml:space="preserve">, </w:t>
      </w:r>
      <w:r w:rsidR="00826FE0" w:rsidRPr="00F009D6">
        <w:rPr>
          <w:rFonts w:ascii="Times New Roman" w:hAnsi="Times New Roman" w:cs="Times New Roman"/>
          <w:b/>
          <w:bCs/>
          <w:sz w:val="24"/>
          <w:szCs w:val="24"/>
          <w:lang w:val="ru-RU"/>
        </w:rPr>
        <w:t>«О коммерческой тайне»</w:t>
      </w:r>
      <w:r w:rsidR="006D28B9" w:rsidRPr="0009680B">
        <w:rPr>
          <w:rFonts w:ascii="Times New Roman" w:hAnsi="Times New Roman" w:cs="Times New Roman"/>
          <w:b/>
          <w:bCs/>
          <w:sz w:val="24"/>
          <w:szCs w:val="24"/>
          <w:lang w:val="ru-RU"/>
        </w:rPr>
        <w:t>)»</w:t>
      </w:r>
    </w:p>
    <w:p w14:paraId="17592ACA" w14:textId="77777777" w:rsidR="0009680B" w:rsidRPr="0009680B" w:rsidRDefault="0009680B" w:rsidP="00A11565">
      <w:pPr>
        <w:spacing w:after="0" w:line="240" w:lineRule="auto"/>
        <w:ind w:firstLine="720"/>
        <w:jc w:val="both"/>
        <w:rPr>
          <w:rFonts w:ascii="Times New Roman" w:hAnsi="Times New Roman" w:cs="Times New Roman"/>
          <w:b/>
          <w:bCs/>
          <w:sz w:val="24"/>
          <w:szCs w:val="24"/>
          <w:lang w:val="ru-RU"/>
        </w:rPr>
      </w:pPr>
    </w:p>
    <w:tbl>
      <w:tblPr>
        <w:tblStyle w:val="a3"/>
        <w:tblW w:w="13858" w:type="dxa"/>
        <w:tblLayout w:type="fixed"/>
        <w:tblLook w:val="04A0" w:firstRow="1" w:lastRow="0" w:firstColumn="1" w:lastColumn="0" w:noHBand="0" w:noVBand="1"/>
      </w:tblPr>
      <w:tblGrid>
        <w:gridCol w:w="7"/>
        <w:gridCol w:w="810"/>
        <w:gridCol w:w="6237"/>
        <w:gridCol w:w="6"/>
        <w:gridCol w:w="6798"/>
      </w:tblGrid>
      <w:tr w:rsidR="00826FE0" w:rsidRPr="00653E57" w14:paraId="17592ACD" w14:textId="77777777" w:rsidTr="00A11565">
        <w:trPr>
          <w:trHeight w:val="557"/>
        </w:trPr>
        <w:tc>
          <w:tcPr>
            <w:tcW w:w="817" w:type="dxa"/>
            <w:gridSpan w:val="2"/>
          </w:tcPr>
          <w:p w14:paraId="0C4F1030" w14:textId="2546E0DC" w:rsidR="00826FE0" w:rsidRPr="00653E57" w:rsidRDefault="00826FE0" w:rsidP="00A11565">
            <w:pPr>
              <w:tabs>
                <w:tab w:val="left" w:pos="1386"/>
              </w:tabs>
              <w:spacing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w:t>
            </w:r>
          </w:p>
        </w:tc>
        <w:tc>
          <w:tcPr>
            <w:tcW w:w="6243" w:type="dxa"/>
            <w:gridSpan w:val="2"/>
            <w:vAlign w:val="center"/>
          </w:tcPr>
          <w:p w14:paraId="17592ACB" w14:textId="762F369D" w:rsidR="00826FE0" w:rsidRPr="00653E57" w:rsidRDefault="00826FE0" w:rsidP="00A11565">
            <w:pPr>
              <w:tabs>
                <w:tab w:val="left" w:pos="1386"/>
              </w:tabs>
              <w:spacing w:line="240" w:lineRule="auto"/>
              <w:jc w:val="center"/>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Действующая редакция</w:t>
            </w:r>
          </w:p>
        </w:tc>
        <w:tc>
          <w:tcPr>
            <w:tcW w:w="6798" w:type="dxa"/>
            <w:vAlign w:val="center"/>
          </w:tcPr>
          <w:p w14:paraId="17592ACC" w14:textId="77777777" w:rsidR="00826FE0" w:rsidRPr="00653E57" w:rsidRDefault="00826FE0" w:rsidP="00A11565">
            <w:pPr>
              <w:spacing w:line="240" w:lineRule="auto"/>
              <w:jc w:val="center"/>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Предлагаемая редакция</w:t>
            </w:r>
          </w:p>
        </w:tc>
      </w:tr>
      <w:tr w:rsidR="00826FE0" w:rsidRPr="00A11565" w14:paraId="17592ACF" w14:textId="77777777" w:rsidTr="00A11565">
        <w:trPr>
          <w:trHeight w:val="604"/>
        </w:trPr>
        <w:tc>
          <w:tcPr>
            <w:tcW w:w="817" w:type="dxa"/>
            <w:gridSpan w:val="2"/>
          </w:tcPr>
          <w:p w14:paraId="43197A37" w14:textId="78B0A302" w:rsidR="00826FE0" w:rsidRPr="00826FE0" w:rsidRDefault="00826FE0" w:rsidP="00A11565">
            <w:pPr>
              <w:spacing w:line="240" w:lineRule="auto"/>
              <w:rPr>
                <w:rFonts w:ascii="Times New Roman" w:hAnsi="Times New Roman" w:cs="Times New Roman"/>
                <w:sz w:val="24"/>
                <w:szCs w:val="24"/>
                <w:lang w:val="ru-RU"/>
              </w:rPr>
            </w:pPr>
            <w:r w:rsidRPr="00826FE0">
              <w:rPr>
                <w:rFonts w:ascii="Times New Roman" w:hAnsi="Times New Roman" w:cs="Times New Roman"/>
                <w:sz w:val="24"/>
                <w:szCs w:val="24"/>
                <w:lang w:val="ru-RU"/>
              </w:rPr>
              <w:t>1</w:t>
            </w:r>
            <w:r w:rsidR="00D13EDA">
              <w:rPr>
                <w:rFonts w:ascii="Times New Roman" w:hAnsi="Times New Roman" w:cs="Times New Roman"/>
                <w:sz w:val="24"/>
                <w:szCs w:val="24"/>
                <w:lang w:val="ru-RU"/>
              </w:rPr>
              <w:t>.</w:t>
            </w:r>
          </w:p>
        </w:tc>
        <w:tc>
          <w:tcPr>
            <w:tcW w:w="13041" w:type="dxa"/>
            <w:gridSpan w:val="3"/>
            <w:vAlign w:val="center"/>
          </w:tcPr>
          <w:p w14:paraId="17592ACE" w14:textId="33E06899" w:rsidR="00826FE0" w:rsidRPr="00653E57" w:rsidRDefault="00826FE0" w:rsidP="00A11565">
            <w:pPr>
              <w:spacing w:line="240" w:lineRule="auto"/>
              <w:jc w:val="center"/>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Закон Кыргызской Республики «Об акционерных обществах»</w:t>
            </w:r>
          </w:p>
        </w:tc>
      </w:tr>
      <w:tr w:rsidR="00826FE0" w:rsidRPr="00A11565" w14:paraId="17592AE2" w14:textId="77777777" w:rsidTr="00A11565">
        <w:tc>
          <w:tcPr>
            <w:tcW w:w="817" w:type="dxa"/>
            <w:gridSpan w:val="2"/>
          </w:tcPr>
          <w:p w14:paraId="2098C472"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c>
          <w:tcPr>
            <w:tcW w:w="6243" w:type="dxa"/>
            <w:gridSpan w:val="2"/>
          </w:tcPr>
          <w:p w14:paraId="17592AD0" w14:textId="3E60BF54"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Статья 1. Сфера применения настоящего Закона</w:t>
            </w:r>
          </w:p>
          <w:p w14:paraId="17592AD1"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Настоящий Закон определяет порядок создания и правовое положение акционерных обществ, права и обязанности их акционеров, а также обеспечивает защиту прав и интересов акционеров.</w:t>
            </w:r>
          </w:p>
          <w:p w14:paraId="17592AD2"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Настоящий Закон распространяется на все акционерные общества, созданные или создаваемые на территории Кыргызской Республики, если иное не установлено настоящим Законом.</w:t>
            </w:r>
          </w:p>
          <w:p w14:paraId="17592AD3"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Особенности правоотношения, связанные с передачей в концессию имущества акционерных обществ, образованных на базе стратегических объектов распределительных компаний электроэнергетики, в которых государство владеет не менее двумя третями акций, определяются концессионным договором, утверждаемым Жогорку </w:t>
            </w:r>
            <w:proofErr w:type="spellStart"/>
            <w:r w:rsidRPr="00653E57">
              <w:rPr>
                <w:rFonts w:ascii="Times New Roman" w:hAnsi="Times New Roman" w:cs="Times New Roman"/>
                <w:sz w:val="24"/>
                <w:szCs w:val="24"/>
                <w:lang w:val="ru-RU"/>
              </w:rPr>
              <w:t>Кенешем</w:t>
            </w:r>
            <w:proofErr w:type="spellEnd"/>
            <w:r w:rsidRPr="00653E57">
              <w:rPr>
                <w:rFonts w:ascii="Times New Roman" w:hAnsi="Times New Roman" w:cs="Times New Roman"/>
                <w:sz w:val="24"/>
                <w:szCs w:val="24"/>
                <w:lang w:val="ru-RU"/>
              </w:rPr>
              <w:t xml:space="preserve"> Кыргызской Республики.</w:t>
            </w:r>
          </w:p>
          <w:p w14:paraId="17592AD4"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Особенности правового положения закрытого акционерного общества "Фонд развития Кыргызской Республики" определяются Законом Кыргызской Республики "О фонде развития Кыргызской Республики".</w:t>
            </w:r>
          </w:p>
          <w:p w14:paraId="17592AD5"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3. Государственным органом, регулирующим корпоративные правоотношения, вытекающие из </w:t>
            </w:r>
            <w:r w:rsidRPr="00653E57">
              <w:rPr>
                <w:rFonts w:ascii="Times New Roman" w:hAnsi="Times New Roman" w:cs="Times New Roman"/>
                <w:sz w:val="24"/>
                <w:szCs w:val="24"/>
                <w:lang w:val="ru-RU"/>
              </w:rPr>
              <w:lastRenderedPageBreak/>
              <w:t>настоящего Закона, и осуществляющим надзор за ними, является уполномоченный государственный орган Кыргызской Республики, регулирующий рынок ценных бумаг.</w:t>
            </w:r>
          </w:p>
          <w:p w14:paraId="17592AD6"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4. Особенности создания, деятельности акционерных обществ, осуществляющих деятельность негосударственного пенсионного фонда, инвестиционного фонда, страховую деятельность регулируются настоящим Законом в части, не противоречащей специальным законам, регулирующим деятельность данных обществ.</w:t>
            </w:r>
          </w:p>
          <w:p w14:paraId="17592AD7"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5. Особенности создания и деятельности акционерных обществ, осуществляющих банковскую деятельность или отдельные банковские операции, регулируются настоящим Законом в части, не противоречащей Закону Кыргызской Республики "О Национальном банке Кыргызской Республики, банках и банковской деятельности".</w:t>
            </w:r>
          </w:p>
          <w:p w14:paraId="17592AD8" w14:textId="77777777" w:rsidR="00826FE0" w:rsidRPr="00653E57" w:rsidRDefault="00826FE0" w:rsidP="00A11565">
            <w:pPr>
              <w:pStyle w:val="tkTekst"/>
              <w:spacing w:line="240" w:lineRule="auto"/>
              <w:rPr>
                <w:rFonts w:ascii="Times New Roman" w:hAnsi="Times New Roman" w:cs="Times New Roman"/>
                <w:sz w:val="24"/>
                <w:szCs w:val="24"/>
                <w:lang w:val="ru-RU"/>
              </w:rPr>
            </w:pPr>
          </w:p>
        </w:tc>
        <w:tc>
          <w:tcPr>
            <w:tcW w:w="6798" w:type="dxa"/>
          </w:tcPr>
          <w:p w14:paraId="17592AD9"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Статья 1. Сфера применения настоящего Закона</w:t>
            </w:r>
          </w:p>
          <w:p w14:paraId="17592ADA"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Настоящий Закон определяет порядок создания и правовое положение акционерных обществ, права и обязанности их акционеров, а также обеспечивает защиту прав и интересов акционеров.</w:t>
            </w:r>
          </w:p>
          <w:p w14:paraId="17592ADB"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Настоящий Закон распространяется на все акционерные общества, созданные или создаваемые на территории Кыргызской Республики, если иное не установлено настоящим Законом.</w:t>
            </w:r>
          </w:p>
          <w:p w14:paraId="17592ADC"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Особенности правоотношения, связанные с передачей в концессию имущества акционерных обществ, образованных на базе стратегических объектов распределительных компаний электроэнергетики, в которых государство владеет не менее двумя третями акций, определяются концессионным договором, утверждаемым Жогорку </w:t>
            </w:r>
            <w:proofErr w:type="spellStart"/>
            <w:r w:rsidRPr="00653E57">
              <w:rPr>
                <w:rFonts w:ascii="Times New Roman" w:hAnsi="Times New Roman" w:cs="Times New Roman"/>
                <w:sz w:val="24"/>
                <w:szCs w:val="24"/>
                <w:lang w:val="ru-RU"/>
              </w:rPr>
              <w:t>Кенешем</w:t>
            </w:r>
            <w:proofErr w:type="spellEnd"/>
            <w:r w:rsidRPr="00653E57">
              <w:rPr>
                <w:rFonts w:ascii="Times New Roman" w:hAnsi="Times New Roman" w:cs="Times New Roman"/>
                <w:sz w:val="24"/>
                <w:szCs w:val="24"/>
                <w:lang w:val="ru-RU"/>
              </w:rPr>
              <w:t xml:space="preserve"> Кыргызской Республики.</w:t>
            </w:r>
          </w:p>
          <w:p w14:paraId="17592ADD"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Особенности правового положения закрытого акционерного общества "Фонд развития Кыргызской Республики" определяются Законом Кыргызской Республики "О фонде развития Кыргызской Республики".</w:t>
            </w:r>
          </w:p>
          <w:p w14:paraId="17592ADE"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3. Государственным органом, регулирующим корпоративные правоотношения, вытекающие из настоящего Закона, и осуществляющим надзор за ними, является </w:t>
            </w:r>
            <w:r w:rsidRPr="00653E57">
              <w:rPr>
                <w:rFonts w:ascii="Times New Roman" w:hAnsi="Times New Roman" w:cs="Times New Roman"/>
                <w:sz w:val="24"/>
                <w:szCs w:val="24"/>
                <w:lang w:val="ru-RU"/>
              </w:rPr>
              <w:lastRenderedPageBreak/>
              <w:t>уполномоченный государственный орган Кыргызской Республики, регулирующий рынок ценных бумаг.</w:t>
            </w:r>
          </w:p>
          <w:p w14:paraId="17592ADF"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4. Особенности создания, деятельности акционерных обществ, осуществляющих деятельность негосударственного пенсионного фонда, инвестиционного фонда, страховую деятельность регулируются настоящим Законом в части, не противоречащей специальным законам, регулирующим деятельность данных обществ.</w:t>
            </w:r>
          </w:p>
          <w:p w14:paraId="17592AE0"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5. Особенности создания и деятельности акционерных обществ, осуществляющих банковскую деятельность или отдельные банковские операции, регулируются настоящим Законом в части, не противоречащей Закону Кыргызской Республики "О Национальном банке Кыргызской Республики, банках и банковской деятельности".</w:t>
            </w:r>
          </w:p>
          <w:p w14:paraId="17592AE1" w14:textId="77777777" w:rsidR="00826FE0" w:rsidRPr="00653E57" w:rsidRDefault="00826FE0" w:rsidP="00A11565">
            <w:pPr>
              <w:pStyle w:val="tkTekst"/>
              <w:spacing w:line="240" w:lineRule="auto"/>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6. Особенности создания и деятельности национальных холдинговых компаний регулируются настоящим Законом в части, не противоречащей специальным законам, регулирующим деятельность данных обществ.</w:t>
            </w:r>
          </w:p>
        </w:tc>
      </w:tr>
      <w:tr w:rsidR="00826FE0" w:rsidRPr="00A11565" w14:paraId="17592B02" w14:textId="77777777" w:rsidTr="00A11565">
        <w:tc>
          <w:tcPr>
            <w:tcW w:w="817" w:type="dxa"/>
            <w:gridSpan w:val="2"/>
          </w:tcPr>
          <w:p w14:paraId="33FB0E9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p>
        </w:tc>
        <w:tc>
          <w:tcPr>
            <w:tcW w:w="6243" w:type="dxa"/>
            <w:gridSpan w:val="2"/>
          </w:tcPr>
          <w:p w14:paraId="17592AE3" w14:textId="45F71C0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Статья 2. Основные понятия, используемые в настоящем Законе </w:t>
            </w:r>
          </w:p>
          <w:p w14:paraId="17592AE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настоящем Законе используются следующие основные понятия:</w:t>
            </w:r>
          </w:p>
          <w:p w14:paraId="17592AE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акция - ценная бумага, удостоверяющая право ее держателя (акционера) на получение части прибыли акционерного общества в виде дивидендов, на участие в управлении делами акционерного общества и на часть имущества, оставшегося после его ликвидации;</w:t>
            </w:r>
          </w:p>
          <w:p w14:paraId="17592AE6"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акционер - физическое или юридическое лицо, владеющее хотя бы одной акцией общества, предоставляющей ему обязательственное право на имущество акционерного общества и обладающее в связи с этим правами и обязанностями, установленными </w:t>
            </w:r>
            <w:r w:rsidRPr="00653E57">
              <w:rPr>
                <w:rFonts w:ascii="Times New Roman" w:eastAsia="Times New Roman" w:hAnsi="Times New Roman" w:cs="Times New Roman"/>
                <w:sz w:val="24"/>
                <w:szCs w:val="24"/>
                <w:lang w:val="ru-RU"/>
              </w:rPr>
              <w:lastRenderedPageBreak/>
              <w:t>настоящим Законом и законодательством Кыргызской Республики;</w:t>
            </w:r>
          </w:p>
          <w:p w14:paraId="17592AE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дивиденды - часть распределительного дохода (прибыли) акционерного общества, полученная акционером в виде дохода от принадлежащих ему акций данного общества;</w:t>
            </w:r>
          </w:p>
          <w:p w14:paraId="17592AE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закрытое общество - акционерное общество, акции которого размещаются и обращаются только среди его участников или иного, заранее определенного круга лиц;</w:t>
            </w:r>
          </w:p>
          <w:p w14:paraId="17592AE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кодекс корпоративного управления - внутренний документ общества, утвержденный общим собранием акционеров, содержащий свод принципов, правил и процедур, направленных на соблюдение прав и законных интересов всех участников корпоративных отношений, и регулирующий взаимоотношения между органами общества, должностными лицами и акционерами;</w:t>
            </w:r>
          </w:p>
          <w:p w14:paraId="17592AE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конвертируемая ценная бумага - ценная бумага, выпущенная акционерным обществом, которая подлежит обмену на ценную бумагу другого вида этого акционерного общества на условиях, установленных при выпуске конвертируемой ценной бумаги;</w:t>
            </w:r>
          </w:p>
          <w:p w14:paraId="17592AE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кумулятивное голосование - способ голосования, при котором на каждую участвующую в голосовании акцию приходится количество голосов, равное общему числу членов коллегиального органа управления общества;</w:t>
            </w:r>
          </w:p>
          <w:p w14:paraId="17592AE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независимый реестродержатель - профессиональный участник рынка ценных бумаг, осуществляющий деятельность по ведению и хранению реестра владельцев именных ценных бумаг;</w:t>
            </w:r>
          </w:p>
          <w:p w14:paraId="17592AE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независимый член совета директоров - член совета директоров, который не является аффилированным лицом данного акционерного общества и не являлся им в течение трех лет, предшествовавших его избранию в </w:t>
            </w:r>
            <w:r w:rsidRPr="00653E57">
              <w:rPr>
                <w:rFonts w:ascii="Times New Roman" w:eastAsia="Times New Roman" w:hAnsi="Times New Roman" w:cs="Times New Roman"/>
                <w:sz w:val="24"/>
                <w:szCs w:val="24"/>
                <w:lang w:val="ru-RU"/>
              </w:rPr>
              <w:lastRenderedPageBreak/>
              <w:t>совет директоров (за исключением случая его пребывания в должности независимого директора данного акционерного общества), не является аффилированным лицом по отношению к аффилированным лицам данного акционерного общества; не связан подчиненностью с должностными лицами данного акционерного общества или организаций - аффилированных лиц данного акционерного общества и не был связан подчиненностью с данными лицами в течение трех лет, предшествовавших его избранию в совет директоров; не является государственным служащим; не является представителем акционера на заседаниях органов данного акционерного общества и не являлся им в течение трех лет, предшествовавших его избранию в совет директоров; не участвует в аудите данного акционерного общества в качестве аудитора, работающего в составе аудиторской организации, и не участвовал в таком аудите в течение трех лет, предшествовавших его избранию в совет директоров;</w:t>
            </w:r>
          </w:p>
          <w:p w14:paraId="17592AE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открытое общество - акционерное общество, акционеры которого могут отчуждать принадлежащие им акции без согласия других акционеров этого общества;</w:t>
            </w:r>
          </w:p>
          <w:p w14:paraId="17592AE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погашение облигаций - выкуп акционерным обществом ранее выпущенных облигаций по номинальной стоимости или их конвертирование в акции этого акционерного общества в соответствии с законодательством Кыргызской Республики;</w:t>
            </w:r>
          </w:p>
          <w:p w14:paraId="17592AF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размещенные акции - акции, принадлежащие акционерам;</w:t>
            </w:r>
          </w:p>
          <w:p w14:paraId="17592AF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уставный капитал - это минимальный капитал общества на момент его учреждения, размер которого установлен настоящим Законом.</w:t>
            </w:r>
          </w:p>
        </w:tc>
        <w:tc>
          <w:tcPr>
            <w:tcW w:w="6798" w:type="dxa"/>
          </w:tcPr>
          <w:p w14:paraId="17592AF2"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lastRenderedPageBreak/>
              <w:t>Статья 2. Основные понятия, используемые в настоящем Законе </w:t>
            </w:r>
          </w:p>
          <w:p w14:paraId="17592AF3"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настоящем Законе используются следующие основные понятия:</w:t>
            </w:r>
          </w:p>
          <w:p w14:paraId="17592AF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акция - ценная бумага, удостоверяющая право ее держателя (акционера) на получение части прибыли акционерного общества в виде дивидендов, на участие в управлении делами акционерного общества и на часть имущества, оставшегося после его ликвидации;</w:t>
            </w:r>
          </w:p>
          <w:p w14:paraId="17592AF5" w14:textId="77777777" w:rsidR="00826FE0" w:rsidRDefault="00826FE0" w:rsidP="00D14627">
            <w:pPr>
              <w:shd w:val="clear" w:color="auto" w:fill="FFFFFF"/>
              <w:spacing w:after="0" w:line="240" w:lineRule="auto"/>
              <w:ind w:firstLine="397"/>
              <w:jc w:val="both"/>
              <w:rPr>
                <w:rFonts w:ascii="Times New Roman" w:eastAsia="Times New Roman" w:hAnsi="Times New Roman" w:cs="Times New Roman"/>
                <w:sz w:val="24"/>
                <w:szCs w:val="24"/>
              </w:rPr>
            </w:pPr>
            <w:r w:rsidRPr="00653E57">
              <w:rPr>
                <w:rFonts w:ascii="Times New Roman" w:eastAsia="Times New Roman" w:hAnsi="Times New Roman" w:cs="Times New Roman"/>
                <w:sz w:val="24"/>
                <w:szCs w:val="24"/>
                <w:lang w:val="ru-RU"/>
              </w:rPr>
              <w:t xml:space="preserve">акционер - физическое или юридическое лицо, владеющее хотя бы одной акцией общества, предоставляющей ему обязательственное право на имущество акционерного общества и обладающее в связи с этим правами и обязанностями, установленными настоящим Законом и законодательством </w:t>
            </w:r>
            <w:r w:rsidRPr="00653E57">
              <w:rPr>
                <w:rFonts w:ascii="Times New Roman" w:eastAsia="Times New Roman" w:hAnsi="Times New Roman" w:cs="Times New Roman"/>
                <w:sz w:val="24"/>
                <w:szCs w:val="24"/>
                <w:lang w:val="ru-RU"/>
              </w:rPr>
              <w:lastRenderedPageBreak/>
              <w:t>Кыргызской Республики;</w:t>
            </w:r>
          </w:p>
          <w:p w14:paraId="0A015CF3" w14:textId="77777777" w:rsidR="00D14627" w:rsidRPr="00D14627" w:rsidRDefault="00D14627" w:rsidP="00D14627">
            <w:pPr>
              <w:shd w:val="clear" w:color="auto" w:fill="FFFFFF"/>
              <w:spacing w:after="0" w:line="240" w:lineRule="auto"/>
              <w:jc w:val="both"/>
              <w:rPr>
                <w:rFonts w:ascii="Times New Roman" w:eastAsia="Times New Roman" w:hAnsi="Times New Roman" w:cs="Times New Roman"/>
                <w:sz w:val="24"/>
                <w:szCs w:val="24"/>
              </w:rPr>
            </w:pPr>
          </w:p>
          <w:p w14:paraId="6EA60E3F" w14:textId="6E8B67EF" w:rsidR="00D14627" w:rsidRPr="00D14627" w:rsidRDefault="00826FE0" w:rsidP="00D14627">
            <w:pPr>
              <w:shd w:val="clear" w:color="auto" w:fill="FFFFFF"/>
              <w:spacing w:after="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дивиденды - часть распределительного дохода (прибыли) акционерного общества, полученная акционером в виде дохода от принадлежащих ему акций данного общества;</w:t>
            </w:r>
          </w:p>
          <w:p w14:paraId="737D67D7" w14:textId="77777777" w:rsidR="00D14627" w:rsidRPr="00D14627" w:rsidRDefault="00D14627" w:rsidP="00D14627">
            <w:pPr>
              <w:shd w:val="clear" w:color="auto" w:fill="FFFFFF"/>
              <w:spacing w:after="0" w:line="240" w:lineRule="auto"/>
              <w:ind w:firstLine="397"/>
              <w:jc w:val="both"/>
              <w:rPr>
                <w:rFonts w:ascii="Times New Roman" w:eastAsia="Times New Roman" w:hAnsi="Times New Roman" w:cs="Times New Roman"/>
                <w:sz w:val="24"/>
                <w:szCs w:val="24"/>
                <w:lang w:val="ru-RU"/>
              </w:rPr>
            </w:pPr>
          </w:p>
          <w:p w14:paraId="17592AF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закрытое общество - акционерное общество, акции которого размещаются и обращаются только среди его участников или иного, заранее определенного круга лиц;</w:t>
            </w:r>
          </w:p>
          <w:p w14:paraId="17592AF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кодекс корпоративного управления - внутренний документ общества, утвержденный общим собранием акционеров, содержащий свод принципов, правил и процедур, направленных на соблюдение прав и законных интересов всех участников корпоративных отношений, и регулирующий взаимоотношения между органами общества, должностными лицами и акционерами;</w:t>
            </w:r>
          </w:p>
          <w:p w14:paraId="17592AF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конвертируемая ценная бумага - ценная бумага, выпущенная акционерным обществом, которая подлежит обмену на ценную бумагу другого вида этого акционерного общества на условиях, установленных при выпуске конвертируемой ценной бумаги;</w:t>
            </w:r>
          </w:p>
          <w:p w14:paraId="17592AF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кумулятивное голосование - способ голосования, при котором на каждую участвующую в голосовании акцию приходится количество голосов, равное общему числу членов коллегиального органа управления общества;</w:t>
            </w:r>
          </w:p>
          <w:p w14:paraId="17592AF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национальная холдинговая компания – учреждаемое Кабинетом Министров Кыргызской Республикой открытое акционерное общество, 100 процентов акций которого принадлежат государству, осуществляющее полномочия акционера (участника) в дочерних хозяйственных обществах;</w:t>
            </w:r>
          </w:p>
          <w:p w14:paraId="17592AF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b/>
                <w:sz w:val="24"/>
                <w:szCs w:val="24"/>
                <w:lang w:val="ru-RU"/>
              </w:rPr>
              <w:t xml:space="preserve"> </w:t>
            </w:r>
            <w:r w:rsidRPr="00653E57">
              <w:rPr>
                <w:rFonts w:ascii="Times New Roman" w:eastAsia="Times New Roman" w:hAnsi="Times New Roman" w:cs="Times New Roman"/>
                <w:sz w:val="24"/>
                <w:szCs w:val="24"/>
                <w:lang w:val="ru-RU"/>
              </w:rPr>
              <w:t xml:space="preserve">независимый реестродержатель - профессиональный участник рынка ценных бумаг, осуществляющий деятельность </w:t>
            </w:r>
            <w:r w:rsidRPr="00653E57">
              <w:rPr>
                <w:rFonts w:ascii="Times New Roman" w:eastAsia="Times New Roman" w:hAnsi="Times New Roman" w:cs="Times New Roman"/>
                <w:sz w:val="24"/>
                <w:szCs w:val="24"/>
                <w:lang w:val="ru-RU"/>
              </w:rPr>
              <w:lastRenderedPageBreak/>
              <w:t>по ведению и хранению реестра владельцев именных ценных бумаг;</w:t>
            </w:r>
          </w:p>
          <w:p w14:paraId="17592AF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независимый член совета директоров - член совета директоров, который не является аффилированным лицом данного акционерного общества и не являлся им в течение трех лет, предшествовавших его избранию в совет директоров (за исключением случая его пребывания в должности независимого директора данного акционерного общества), не является аффилированным лицом по отношению к аффилированным лицам данного акционерного общества; не связан подчиненностью с должностными лицами данного акционерного общества или организаций - аффилированных лиц данного акционерного общества и не был связан подчиненностью с данными лицами в течение трех лет, предшествовавших его избранию в совет директоров; не является государственным служащим; не является представителем акционера на заседаниях органов данного акционерного общества и не являлся им в течение трех лет, предшествовавших его избранию в совет директоров; не участвует в аудите данного акционерного общества в качестве аудитора, работающего в составе аудиторской организации, и не участвовал в таком аудите в течение трех лет, предшествовавших его избранию в совет директоров;</w:t>
            </w:r>
          </w:p>
          <w:p w14:paraId="17592AF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открытое общество - акционерное общество, акционеры которого могут отчуждать принадлежащие им акции без согласия других акционеров этого общества;</w:t>
            </w:r>
          </w:p>
          <w:p w14:paraId="17592AF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погашение облигаций - выкуп акционерным обществом ранее выпущенных облигаций по номинальной стоимости или их конвертирование в акции этого акционерного общества в соответствии с законодательством Кыргызской Республики;</w:t>
            </w:r>
          </w:p>
          <w:p w14:paraId="17592B0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размещенные акции - акции, принадлежащие акционерам;</w:t>
            </w:r>
          </w:p>
          <w:p w14:paraId="17592B0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уставный капитал - это минимальный капитал общества на момент его учреждения, размер которого установлен </w:t>
            </w:r>
            <w:r w:rsidRPr="00653E57">
              <w:rPr>
                <w:rFonts w:ascii="Times New Roman" w:eastAsia="Times New Roman" w:hAnsi="Times New Roman" w:cs="Times New Roman"/>
                <w:sz w:val="24"/>
                <w:szCs w:val="24"/>
                <w:lang w:val="ru-RU"/>
              </w:rPr>
              <w:lastRenderedPageBreak/>
              <w:t>настоящим Законом.</w:t>
            </w:r>
          </w:p>
        </w:tc>
      </w:tr>
      <w:tr w:rsidR="00826FE0" w:rsidRPr="00A11565" w14:paraId="17592B1D" w14:textId="77777777" w:rsidTr="00A11565">
        <w:tc>
          <w:tcPr>
            <w:tcW w:w="817" w:type="dxa"/>
            <w:gridSpan w:val="2"/>
          </w:tcPr>
          <w:p w14:paraId="6884C5E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p>
        </w:tc>
        <w:tc>
          <w:tcPr>
            <w:tcW w:w="6243" w:type="dxa"/>
            <w:gridSpan w:val="2"/>
          </w:tcPr>
          <w:p w14:paraId="17592B03" w14:textId="7F187671"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Статья 7. Открытые и закрытые общества </w:t>
            </w:r>
          </w:p>
          <w:p w14:paraId="17592B0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Общество может быть открытым или закрытым, что отражается в его уставе и фирменном наименовании.</w:t>
            </w:r>
          </w:p>
          <w:p w14:paraId="17592B0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 Открытое общество вправе проводить публичное размещение выпускаемых им акций и осуществлять их свободную продажу с учетом требований настоящего Закона и иных нормативных правовых актов Кыргызской Республики. Уставом не могут быть предусмотрены положения, ограничивающие свободную продажу акций.</w:t>
            </w:r>
          </w:p>
          <w:p w14:paraId="17592B06"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Число акционеров открытого общества не ограничено.</w:t>
            </w:r>
          </w:p>
          <w:p w14:paraId="17592B0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случае преобразования закрытого акционерного общества в открытое общество ограничивающее положение, действующее при закрытом обществе, в открытом акционерном обществе недействительно.</w:t>
            </w:r>
          </w:p>
          <w:p w14:paraId="17592B0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3. Закрытое общество не вправе проводить публичное размещение выпускаемых им акций, иным образом предлагать их для приобретения неограниченному кругу лиц.</w:t>
            </w:r>
          </w:p>
          <w:p w14:paraId="17592B0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Число акционеров закрытого общества не должно превышать пятидесяти.</w:t>
            </w:r>
          </w:p>
          <w:p w14:paraId="17592B0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случае если число акционеров закрытого общества превысит установленный настоящим пунктом предел, указанное общество в течение одного года должно преобразоваться в открытое. Если число его акционеров не уменьшится, общество подлежит ликвидации в судебном порядке.</w:t>
            </w:r>
          </w:p>
          <w:p w14:paraId="17592B0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4. Акционеры закрытого акционерного общества имеют преимущественное право покупки акций, продаваемых другими акционерами этого общества.</w:t>
            </w:r>
          </w:p>
          <w:p w14:paraId="17592B0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Если никто из акционеров не воспользуется своим </w:t>
            </w:r>
            <w:r w:rsidRPr="00653E57">
              <w:rPr>
                <w:rFonts w:ascii="Times New Roman" w:eastAsia="Times New Roman" w:hAnsi="Times New Roman" w:cs="Times New Roman"/>
                <w:sz w:val="24"/>
                <w:szCs w:val="24"/>
                <w:lang w:val="ru-RU"/>
              </w:rPr>
              <w:lastRenderedPageBreak/>
              <w:t>преимущественным правом в течение пяти дней со дня извещения либо в иной срок, предусмотренный уставом общества, или при недостижении соглашения об их цене, акционерное общество вправе само приобрести эти акции по согласованной с их собственником цене. При отказе акционерного общества от приобретения акций или недостижении соглашения об их цене акции могут быть отчуждены любому третьему лицу. Цена предложения третьему лицу не может быть ниже предложения акционерам и самому обществу. В противном случае сделка может быть признана недействительной.</w:t>
            </w:r>
          </w:p>
          <w:p w14:paraId="17592B0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5. При залоге акций закрытого акционерного общества и последующем обращении на них взыскания залогодержателем соответственно применяются правила пункта 4 настоящей статьи. Однако залогодержатель вправе вместо отчуждения акций третьему лицу оставить их за собой.</w:t>
            </w:r>
          </w:p>
          <w:p w14:paraId="17592B0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6. Акции закрытого общества переходят к наследникам физического лица или правопреемникам юридического лица, являвшегося акционером, в соответствии с законодательством Кыргызской Республики.</w:t>
            </w:r>
          </w:p>
          <w:p w14:paraId="17592B0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7. Общества, учредителями которых выступают в случаях, установленных законами, уполномоченные органы Кыргызской Республики, могут быть только открытыми.</w:t>
            </w:r>
          </w:p>
        </w:tc>
        <w:tc>
          <w:tcPr>
            <w:tcW w:w="6798" w:type="dxa"/>
          </w:tcPr>
          <w:p w14:paraId="17592B1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lastRenderedPageBreak/>
              <w:t>Статья 7. Открытые и закрытые общества </w:t>
            </w:r>
          </w:p>
          <w:p w14:paraId="17592B1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Общество может быть открытым или закрытым, что отражается в его уставе и фирменном наименовании.</w:t>
            </w:r>
          </w:p>
          <w:p w14:paraId="17592B12"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 Открытое общество вправе проводить публичное размещение выпускаемых им акций и осуществлять их свободную продажу с учетом требований настоящего Закона и иных нормативных правовых актов Кыргызской Республики. Уставом не могут быть предусмотрены положения, ограничивающие свободную продажу акций.</w:t>
            </w:r>
          </w:p>
          <w:p w14:paraId="17592B13"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Число акционеров открытого общества не ограничено.</w:t>
            </w:r>
          </w:p>
          <w:p w14:paraId="17592B1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случае преобразования закрытого акционерного общества в открытое общество ограничивающее положение, действующее при закрытом обществе, в открытом акционерном обществе недействительно.</w:t>
            </w:r>
          </w:p>
          <w:p w14:paraId="17592B1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3. Закрытое общество не вправе проводить публичное размещение выпускаемых им акций, иным образом предлагать их для приобретения неограниченному кругу лиц.</w:t>
            </w:r>
          </w:p>
          <w:p w14:paraId="751F3342" w14:textId="77777777" w:rsidR="00D14627" w:rsidRDefault="00D14627" w:rsidP="00A11565">
            <w:pPr>
              <w:shd w:val="clear" w:color="auto" w:fill="FFFFFF"/>
              <w:spacing w:after="120" w:line="240" w:lineRule="auto"/>
              <w:ind w:firstLine="397"/>
              <w:jc w:val="both"/>
              <w:rPr>
                <w:rFonts w:ascii="Times New Roman" w:eastAsia="Times New Roman" w:hAnsi="Times New Roman" w:cs="Times New Roman"/>
                <w:sz w:val="24"/>
                <w:szCs w:val="24"/>
              </w:rPr>
            </w:pPr>
          </w:p>
          <w:p w14:paraId="17592B16"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Число акционеров закрытого общества не должно превышать пятидесяти.</w:t>
            </w:r>
          </w:p>
          <w:p w14:paraId="17592B1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 случае если число акционеров закрытого общества превысит установленный настоящим пунктом предел, указанное общество в течение одного года должно преобразоваться в открытое. Если число его акционеров не уменьшится, общество подлежит ликвидации в судебном порядке.</w:t>
            </w:r>
          </w:p>
          <w:p w14:paraId="17592B1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4. Акционеры закрытого акционерного общества имеют преимущественное право покупки акций, продаваемых другими акционерами этого общества.</w:t>
            </w:r>
          </w:p>
          <w:p w14:paraId="17592B1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Если никто из акционеров не воспользуется своим </w:t>
            </w:r>
            <w:r w:rsidRPr="00653E57">
              <w:rPr>
                <w:rFonts w:ascii="Times New Roman" w:eastAsia="Times New Roman" w:hAnsi="Times New Roman" w:cs="Times New Roman"/>
                <w:sz w:val="24"/>
                <w:szCs w:val="24"/>
                <w:lang w:val="ru-RU"/>
              </w:rPr>
              <w:lastRenderedPageBreak/>
              <w:t>преимущественным правом в течение пяти дней со дня извещения либо в иной срок, предусмотренный уставом общества, или при недостижении соглашения об их цене, акционерное общество вправе само приобрести эти акции по согласованной с их собственником цене. При отказе акционерного общества от приобретения акций или недостижении соглашения об их цене акции могут быть отчуждены любому третьему лицу. Цена предложения третьему лицу не может быть ниже предложения акционерам и самому обществу. В противном случае сделка может быть признана недействительной.</w:t>
            </w:r>
          </w:p>
          <w:p w14:paraId="17592B1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5. При залоге акций закрытого акционерного общества и последующем обращении на них взыскания залогодержателем соответственно применяются правила пункта 4 настоящей статьи. Однако залогодержатель вправе вместо отчуждения акций третьему лицу оставить их за собой.</w:t>
            </w:r>
          </w:p>
          <w:p w14:paraId="17592B1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6. Акции закрытого общества переходят к наследникам физического лица или правопреемникам юридического лица, являвшегося акционером, в соответствии с законодательством Кыргызской Республики.</w:t>
            </w:r>
          </w:p>
          <w:p w14:paraId="17592B1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7. </w:t>
            </w:r>
            <w:r w:rsidRPr="00653E57">
              <w:rPr>
                <w:rFonts w:ascii="Times New Roman" w:eastAsia="Times New Roman" w:hAnsi="Times New Roman" w:cs="Times New Roman"/>
                <w:b/>
                <w:sz w:val="24"/>
                <w:szCs w:val="24"/>
                <w:lang w:val="ru-RU"/>
              </w:rPr>
              <w:t>Общества, учредителями которых выступает Кыргызская Республика в лице уполномоченных органов или органы местного самоуправления Кыргызской Республики, могут быть только открытыми.</w:t>
            </w:r>
          </w:p>
        </w:tc>
      </w:tr>
      <w:tr w:rsidR="00826FE0" w:rsidRPr="00A11565" w14:paraId="17592B2B" w14:textId="77777777" w:rsidTr="00A11565">
        <w:tc>
          <w:tcPr>
            <w:tcW w:w="817" w:type="dxa"/>
            <w:gridSpan w:val="2"/>
          </w:tcPr>
          <w:p w14:paraId="3DAEE5CE"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c>
          <w:tcPr>
            <w:tcW w:w="6243" w:type="dxa"/>
            <w:gridSpan w:val="2"/>
          </w:tcPr>
          <w:p w14:paraId="17592B1E" w14:textId="04C2BBE5"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Статья 10. Учредители общества</w:t>
            </w:r>
          </w:p>
          <w:p w14:paraId="17592B1F"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1. Учредителями общества являются физические и (или) юридические лица, принявшие решение о его учреждении.</w:t>
            </w:r>
          </w:p>
          <w:p w14:paraId="17592B20"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 xml:space="preserve">Правительство и органы местного самоуправления могут учреждать или выступать в качестве соучредителей </w:t>
            </w:r>
            <w:r w:rsidRPr="00653E57">
              <w:rPr>
                <w:rFonts w:ascii="Times New Roman" w:hAnsi="Times New Roman" w:cs="Times New Roman"/>
                <w:b w:val="0"/>
                <w:bCs w:val="0"/>
                <w:sz w:val="24"/>
                <w:szCs w:val="24"/>
                <w:lang w:val="ru-RU"/>
              </w:rPr>
              <w:lastRenderedPageBreak/>
              <w:t>общества или приобретать акции и быть акционерами общества.</w:t>
            </w:r>
          </w:p>
          <w:p w14:paraId="17592B21"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2. Число учредителей открытого общества не ограничено. Число учредителей закрытого общества не может превышать пятидесяти.</w:t>
            </w:r>
          </w:p>
          <w:p w14:paraId="17592B22"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3. Учредители общества несут солидарную ответственность по обязательствам, связанным с его созданием и возникающим до государственной регистрации данного общества.</w:t>
            </w:r>
          </w:p>
          <w:p w14:paraId="17592B23"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p>
        </w:tc>
        <w:tc>
          <w:tcPr>
            <w:tcW w:w="6798" w:type="dxa"/>
          </w:tcPr>
          <w:p w14:paraId="17592B24"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Статья 10. Учредители общества</w:t>
            </w:r>
          </w:p>
          <w:p w14:paraId="17592B25"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1. Учредителями общества являются физические и (или) юридические лица, принявшие решение о его учреждении.</w:t>
            </w:r>
          </w:p>
          <w:p w14:paraId="17592B26" w14:textId="77777777" w:rsidR="00826FE0" w:rsidRPr="00653E57" w:rsidRDefault="00826FE0" w:rsidP="00A11565">
            <w:pPr>
              <w:pStyle w:val="tkZagolovok5"/>
              <w:spacing w:before="0" w:after="0"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Кыргызская Республика в лице Кабинета Министров Кыргызской Республики может учреждать, выступать соучредителем, приобретать акции и осуществлять </w:t>
            </w:r>
            <w:r w:rsidRPr="00653E57">
              <w:rPr>
                <w:rFonts w:ascii="Times New Roman" w:hAnsi="Times New Roman" w:cs="Times New Roman"/>
                <w:sz w:val="24"/>
                <w:szCs w:val="24"/>
                <w:lang w:val="ru-RU"/>
              </w:rPr>
              <w:lastRenderedPageBreak/>
              <w:t>полномочия акционера общества. От имени Кабинета Министров Кыргызской Республики полномочия акционера общества может осуществлять уполномоченный им государственный орган.</w:t>
            </w:r>
          </w:p>
          <w:p w14:paraId="17592B27" w14:textId="77777777" w:rsidR="00826FE0" w:rsidRPr="00653E57" w:rsidRDefault="00826FE0" w:rsidP="00A11565">
            <w:pPr>
              <w:pStyle w:val="tkZagolovok5"/>
              <w:spacing w:before="0" w:after="0"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Органы местного самоуправления могут учреждать, выступать соучредителями, приобретать акции и осуществлять полномочия акционера общества.</w:t>
            </w:r>
          </w:p>
          <w:p w14:paraId="17592B28"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2. Число учредителей открытого общества не ограничено. Число учредителей закрытого общества не может превышать пятидесяти.</w:t>
            </w:r>
          </w:p>
          <w:p w14:paraId="17592B29" w14:textId="77777777" w:rsidR="00826FE0" w:rsidRPr="00653E57" w:rsidRDefault="00826FE0" w:rsidP="00A11565">
            <w:pPr>
              <w:pStyle w:val="tkZagolovok5"/>
              <w:spacing w:line="240" w:lineRule="auto"/>
              <w:jc w:val="both"/>
              <w:rPr>
                <w:rFonts w:ascii="Times New Roman" w:hAnsi="Times New Roman" w:cs="Times New Roman"/>
                <w:b w:val="0"/>
                <w:bCs w:val="0"/>
                <w:sz w:val="24"/>
                <w:szCs w:val="24"/>
                <w:lang w:val="ru-RU"/>
              </w:rPr>
            </w:pPr>
            <w:r w:rsidRPr="00653E57">
              <w:rPr>
                <w:rFonts w:ascii="Times New Roman" w:hAnsi="Times New Roman" w:cs="Times New Roman"/>
                <w:b w:val="0"/>
                <w:bCs w:val="0"/>
                <w:sz w:val="24"/>
                <w:szCs w:val="24"/>
                <w:lang w:val="ru-RU"/>
              </w:rPr>
              <w:t>3. Учредители общества несут солидарную ответственность по обязательствам, связанным с его созданием и возникающим до государственной регистрации данного общества.</w:t>
            </w:r>
          </w:p>
          <w:p w14:paraId="17592B2A"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r>
      <w:tr w:rsidR="00826FE0" w:rsidRPr="00A11565" w14:paraId="17592B46" w14:textId="77777777" w:rsidTr="00A11565">
        <w:tc>
          <w:tcPr>
            <w:tcW w:w="817" w:type="dxa"/>
            <w:gridSpan w:val="2"/>
          </w:tcPr>
          <w:p w14:paraId="68D76709"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c>
          <w:tcPr>
            <w:tcW w:w="6243" w:type="dxa"/>
            <w:gridSpan w:val="2"/>
          </w:tcPr>
          <w:p w14:paraId="17592B2C" w14:textId="30C0A06E"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Статья 58. Исполнительный орган общества</w:t>
            </w:r>
          </w:p>
          <w:p w14:paraId="17592B2D"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Руководство текущей деятельностью общества осуществляется единоличным исполнительным органом общества или коллегиальным исполнительным органом общества (правлением, дирекцией).</w:t>
            </w:r>
          </w:p>
          <w:p w14:paraId="17592B2E"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Члены исполнительного органа общества избираются советом директоров либо, если общество осуществляет деятельность без образования совета директоров, общим собранием акционеров в порядке, предусмотренном настоящим Законом и уставом общества, на срок не более одного года.</w:t>
            </w:r>
          </w:p>
          <w:p w14:paraId="17592B2F"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Лица, избранные в члены исполнительного органа общества, могут переизбираться неограниченное число раз.</w:t>
            </w:r>
          </w:p>
          <w:p w14:paraId="17592B30"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По решению совета директоров либо, если общество осуществляет деятельность без образования совета директоров, общего собрания акционеров полномочия </w:t>
            </w:r>
            <w:r w:rsidRPr="00653E57">
              <w:rPr>
                <w:rFonts w:ascii="Times New Roman" w:hAnsi="Times New Roman" w:cs="Times New Roman"/>
                <w:sz w:val="24"/>
                <w:szCs w:val="24"/>
                <w:lang w:val="ru-RU"/>
              </w:rPr>
              <w:lastRenderedPageBreak/>
              <w:t>исполнительного органа общества могут быть переданы по договору коммерческой организации (управляющей организации) или индивидуальному предпринимателю (управляющему). Условия заключаемого договора утверждаются советом директоров общества, если иное не предусмотрено уставом общества.</w:t>
            </w:r>
          </w:p>
          <w:p w14:paraId="17592B31"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Лица, избранные в исполнительный орган общества, в которых государство владеет более 50 процентами акций, не могут переизбираться повторно в случае ухудшения финансовых показателей общества за период их работы и/или сохранения негативной тенденции по показателям рентабельности.</w:t>
            </w:r>
          </w:p>
          <w:p w14:paraId="17592B32"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Должностные лица общества, приведшие его к банкротству или отстраненные от занимаемой должности за неудовлетворительную работу, небезупречное поведение или совершение по месту работы правонарушения, не могут быть избраны в органы управления общества с государственным пакетом акций.</w:t>
            </w:r>
          </w:p>
          <w:p w14:paraId="17592B33"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К компетенции исполнительного органа общества относятся все вопросы руководства текущей деятельностью общества, за исключением вопросов, отнесенных к исключительной компетенции общего собрания акционеров или совета директоров общества. Исполнительный орган общества организует выполнение решений общего собрания акционеров и совета директоров общества.</w:t>
            </w:r>
          </w:p>
          <w:p w14:paraId="17592B34"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3. Права и обязанности единоличного исполнительного органа общества, членов, коллегиального исполнительного органа общества, управляющей организации или управляющего по осуществлению руководства текущей деятельностью общества определяются настоящим Законом, иными нормативными правовыми актами Кыргызской Республики, уставом общества, договором, заключаемым с обществом, правовыми документами общества. Договор </w:t>
            </w:r>
            <w:r w:rsidRPr="00653E57">
              <w:rPr>
                <w:rFonts w:ascii="Times New Roman" w:hAnsi="Times New Roman" w:cs="Times New Roman"/>
                <w:sz w:val="24"/>
                <w:szCs w:val="24"/>
                <w:lang w:val="ru-RU"/>
              </w:rPr>
              <w:lastRenderedPageBreak/>
              <w:t>от имени общества подписывается председателем совета директоров общества или лицом, уполномоченным советом директоров общества.</w:t>
            </w:r>
          </w:p>
          <w:p w14:paraId="17592B35"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4. Ежегодно, не позднее чем за 20 дней до даты проведения собрания акционеров, исполнительный орган общества должен подготовить годовой отчет, баланс, счет прибыли и убытков, годовой бюджет и обеспечить акционерам доступность этих материалов для ознакомления.</w:t>
            </w:r>
          </w:p>
          <w:p w14:paraId="17592B36"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Исполнительный орган должен представить годовой отчет, балансовый отчет, счет прибыли и убытков и годовой бюджет общему собранию акционеров.</w:t>
            </w:r>
          </w:p>
          <w:p w14:paraId="17592B37"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5. Исполнительный орган обязан регулярно, но не реже одного раза в квартал, отчитываться перед советом директоров о финансово-хозяйственной деятельности общества и ходе реализации целей и политики общества.</w:t>
            </w:r>
          </w:p>
          <w:p w14:paraId="17592B38" w14:textId="77777777" w:rsidR="00826FE0" w:rsidRPr="00653E57" w:rsidRDefault="00826FE0" w:rsidP="00A11565">
            <w:pPr>
              <w:spacing w:line="240" w:lineRule="auto"/>
              <w:jc w:val="both"/>
              <w:rPr>
                <w:rFonts w:ascii="Times New Roman" w:hAnsi="Times New Roman" w:cs="Times New Roman"/>
                <w:sz w:val="24"/>
                <w:szCs w:val="24"/>
                <w:lang w:val="ru-RU"/>
              </w:rPr>
            </w:pPr>
          </w:p>
        </w:tc>
        <w:tc>
          <w:tcPr>
            <w:tcW w:w="6798" w:type="dxa"/>
          </w:tcPr>
          <w:p w14:paraId="17592B39"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Статья 58. Исполнительный орган общества</w:t>
            </w:r>
          </w:p>
          <w:p w14:paraId="17592B3A"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Руководство текущей деятельностью общества осуществляется единоличным исполнительным органом общества или коллегиальным исполнительным органом общества (правлением, дирекцией).</w:t>
            </w:r>
          </w:p>
          <w:p w14:paraId="17592B3B"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Члены исполнительного органа общества избираются советом директоров либо, если общество осуществляет деятельность без образования совета директоров, общим собранием акционеров в порядке, предусмотренном настоящим Законом и уставом общества, </w:t>
            </w:r>
            <w:r w:rsidRPr="00653E57">
              <w:rPr>
                <w:rFonts w:ascii="Times New Roman" w:hAnsi="Times New Roman" w:cs="Times New Roman"/>
                <w:b/>
                <w:bCs/>
                <w:sz w:val="24"/>
                <w:szCs w:val="24"/>
                <w:lang w:val="ru-RU"/>
              </w:rPr>
              <w:t>на срок от одного года до трех лет.</w:t>
            </w:r>
          </w:p>
          <w:p w14:paraId="17592B3C"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Лица, избранные в члены исполнительного органа общества, могут переизбираться неограниченное число раз.</w:t>
            </w:r>
          </w:p>
          <w:p w14:paraId="17592B3D"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По решению совета директоров либо, если общество осуществляет деятельность без образования совета директоров, общего собрания акционеров полномочия исполнительного органа общества могут быть переданы по договору </w:t>
            </w:r>
            <w:r w:rsidRPr="00653E57">
              <w:rPr>
                <w:rFonts w:ascii="Times New Roman" w:hAnsi="Times New Roman" w:cs="Times New Roman"/>
                <w:sz w:val="24"/>
                <w:szCs w:val="24"/>
                <w:lang w:val="ru-RU"/>
              </w:rPr>
              <w:lastRenderedPageBreak/>
              <w:t>коммерческой организации (управляющей организации) или индивидуальному предпринимателю (управляющему). Условия заключаемого договора утверждаются советом директоров общества, если иное не предусмотрено уставом общества.</w:t>
            </w:r>
          </w:p>
          <w:p w14:paraId="17592B3E"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Лица, избранные в исполнительный орган общества, в которых государство владеет более 50 процентами акций, не могут переизбираться повторно в случае ухудшения финансовых показателей общества за период их работы и/или сохранения негативной тенденции по показателям рентабельности.</w:t>
            </w:r>
          </w:p>
          <w:p w14:paraId="17592B3F"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Должностные лица общества, приведшие его к банкротству или отстраненные от занимаемой должности за неудовлетворительную работу, небезупречное поведение или совершение по месту работы правонарушения, не могут быть избраны в органы управления общества с государственным пакетом акций.</w:t>
            </w:r>
          </w:p>
          <w:p w14:paraId="17592B40"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К компетенции исполнительного органа общества относятся все вопросы руководства текущей деятельностью общества, за исключением вопросов, отнесенных к исключительной компетенции общего собрания акционеров или совета директоров общества. Исполнительный орган общества организует выполнение решений общего собрания акционеров и совета директоров общества.</w:t>
            </w:r>
          </w:p>
          <w:p w14:paraId="17592B41"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3. Права и обязанности единоличного исполнительного органа общества, членов, коллегиального исполнительного органа общества, управляющей организации или управляющего по осуществлению руководства текущей деятельностью общества определяются настоящим Законом, иными нормативными правовыми актами Кыргызской Республики, уставом общества, договором, заключаемым с обществом, правовыми документами общества. Договор от имени общества подписывается председателем совета директоров общества или лицом, уполномоченным советом директоров общества.</w:t>
            </w:r>
          </w:p>
          <w:p w14:paraId="17592B42"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4. Ежегодно, не позднее чем за 20 дней до даты проведения собрания акционеров, исполнительный орган общества должен подготовить годовой отчет, баланс, счет прибыли и убытков, годовой бюджет и обеспечить акционерам доступность этих материалов для ознакомления.</w:t>
            </w:r>
          </w:p>
          <w:p w14:paraId="17592B43"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Исполнительный орган должен представить годовой отчет, балансовый отчет, счет прибыли и убытков и годовой бюджет общему собранию акционеров.</w:t>
            </w:r>
          </w:p>
          <w:p w14:paraId="17592B44"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5. Исполнительный орган обязан регулярно, но не реже одного раза в квартал, отчитываться перед советом директоров о финансово-хозяйственной деятельности общества и ходе реализации целей и политики общества.</w:t>
            </w:r>
          </w:p>
          <w:p w14:paraId="17592B45" w14:textId="77777777" w:rsidR="00826FE0" w:rsidRPr="00653E57" w:rsidRDefault="00826FE0" w:rsidP="00A11565">
            <w:pPr>
              <w:spacing w:line="240" w:lineRule="auto"/>
              <w:jc w:val="both"/>
              <w:rPr>
                <w:rFonts w:ascii="Times New Roman" w:hAnsi="Times New Roman" w:cs="Times New Roman"/>
                <w:sz w:val="24"/>
                <w:szCs w:val="24"/>
                <w:lang w:val="ru-RU"/>
              </w:rPr>
            </w:pPr>
          </w:p>
        </w:tc>
      </w:tr>
      <w:tr w:rsidR="00826FE0" w:rsidRPr="00A11565" w14:paraId="17592B65" w14:textId="77777777" w:rsidTr="00A11565">
        <w:tc>
          <w:tcPr>
            <w:tcW w:w="817" w:type="dxa"/>
            <w:gridSpan w:val="2"/>
          </w:tcPr>
          <w:p w14:paraId="26FB3A5F" w14:textId="03D863EB" w:rsidR="00826FE0" w:rsidRPr="00826FE0" w:rsidRDefault="00826FE0" w:rsidP="00A11565">
            <w:pPr>
              <w:pStyle w:val="tkZagolovok5"/>
              <w:spacing w:line="240" w:lineRule="auto"/>
              <w:ind w:right="29" w:firstLine="0"/>
              <w:rPr>
                <w:rFonts w:ascii="Times New Roman" w:hAnsi="Times New Roman" w:cs="Times New Roman"/>
                <w:b w:val="0"/>
                <w:bCs w:val="0"/>
                <w:sz w:val="24"/>
                <w:szCs w:val="24"/>
                <w:lang w:val="ru-RU"/>
              </w:rPr>
            </w:pPr>
            <w:r w:rsidRPr="00826FE0">
              <w:rPr>
                <w:rFonts w:ascii="Times New Roman" w:hAnsi="Times New Roman" w:cs="Times New Roman"/>
                <w:b w:val="0"/>
                <w:bCs w:val="0"/>
                <w:sz w:val="24"/>
                <w:szCs w:val="24"/>
                <w:lang w:val="ru-RU"/>
              </w:rPr>
              <w:lastRenderedPageBreak/>
              <w:t>2.</w:t>
            </w:r>
          </w:p>
        </w:tc>
        <w:tc>
          <w:tcPr>
            <w:tcW w:w="13041" w:type="dxa"/>
            <w:gridSpan w:val="3"/>
            <w:vAlign w:val="center"/>
          </w:tcPr>
          <w:p w14:paraId="17592B64" w14:textId="60A7F8A8" w:rsidR="00826FE0" w:rsidRPr="00653E57" w:rsidRDefault="00826FE0" w:rsidP="00A11565">
            <w:pPr>
              <w:pStyle w:val="tkZagolovok5"/>
              <w:spacing w:line="240" w:lineRule="auto"/>
              <w:jc w:val="center"/>
              <w:rPr>
                <w:rFonts w:ascii="Times New Roman" w:hAnsi="Times New Roman" w:cs="Times New Roman"/>
                <w:sz w:val="24"/>
                <w:szCs w:val="24"/>
                <w:lang w:val="ru-RU"/>
              </w:rPr>
            </w:pPr>
            <w:r w:rsidRPr="00653E57">
              <w:rPr>
                <w:rFonts w:ascii="Times New Roman" w:hAnsi="Times New Roman" w:cs="Times New Roman"/>
                <w:sz w:val="24"/>
                <w:szCs w:val="24"/>
                <w:lang w:val="ru-RU"/>
              </w:rPr>
              <w:t>Закон Кыргызской Республики «О недрах»</w:t>
            </w:r>
          </w:p>
        </w:tc>
      </w:tr>
      <w:tr w:rsidR="00826FE0" w:rsidRPr="00A11565" w14:paraId="17592B81" w14:textId="77777777" w:rsidTr="00A11565">
        <w:tc>
          <w:tcPr>
            <w:tcW w:w="817" w:type="dxa"/>
            <w:gridSpan w:val="2"/>
          </w:tcPr>
          <w:p w14:paraId="30B8FC2E"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c>
          <w:tcPr>
            <w:tcW w:w="6243" w:type="dxa"/>
            <w:gridSpan w:val="2"/>
          </w:tcPr>
          <w:p w14:paraId="17592B66" w14:textId="6967085E"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t>Статья 38. Залог и передача лицензий на право пользования недрами</w:t>
            </w:r>
          </w:p>
          <w:p w14:paraId="17592B67"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Лицензиат вправе заложить право пользования недрами третьему лицу на основании договора о залоге согласно требованиям Закона Кыргызской Республики "О залоге" с особенностями, установленными в настоящем Законе.</w:t>
            </w:r>
          </w:p>
          <w:p w14:paraId="17592B68"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Договор залога права пользования недрами подлежит государственной регистрации в уполномоченном государственном органе по недропользованию.</w:t>
            </w:r>
          </w:p>
          <w:p w14:paraId="17592B69"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Без регистрации договор залога права пользования недрами является ничтожным, а право по нему недействительным.</w:t>
            </w:r>
          </w:p>
          <w:p w14:paraId="17592B6A"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Передача прав пользования недрами в залог не препятствует приостановлению и прекращению прав пользования недрами в предусмотренных законом случаях.</w:t>
            </w:r>
          </w:p>
          <w:p w14:paraId="17592B6B"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3. Обращение взыскания на право пользования недрами по договору залога возможно не ранее 6 месяцев со дня его государственной регистрации.</w:t>
            </w:r>
          </w:p>
          <w:p w14:paraId="17592B6C"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4. Переход лицензии к другому лицу в результате обращения взыскания на право пользования недрами является основанием для переоформления лицензии.</w:t>
            </w:r>
          </w:p>
          <w:p w14:paraId="17592B6D"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5. Лицензиат по истечении 2 лет с даты заключения лицензионного соглашения на проведение работ вправе передавать права по лицензии другим лицам с гарантией соблюдения ими условий действующего лицензионного соглашения. Передача лицензии возможна при отсутствии у недропользователя задолженностей по уплате сумм бонуса, роялти и сбора за пользование недрами.</w:t>
            </w:r>
          </w:p>
          <w:p w14:paraId="17592B6E"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Не допускается передача права пользования недрами в результате универсального правопреемства, предусмотренного гражданским законодательством, путем наследования.</w:t>
            </w:r>
          </w:p>
          <w:p w14:paraId="17592B6F"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Коммерческие банки, получившие права пользования недрами в результате обращения взыскания на залог, вправе передать права пользования недрами другим лицам без соблюдения срока, указанного в настоящей части.</w:t>
            </w:r>
          </w:p>
          <w:p w14:paraId="17592B70"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6. Переход лицензии к другому лицу в результате обращения взыскания на залог или передаче прав по лицензии приравнивается к получению лицензии и влечет уплату бонуса, предусмотренного налоговым законодательством Кыргызской Республики, за исключением случаев перехода прав по лицензии в результате универсального правопреемства, предусмотренного гражданским законодательством.</w:t>
            </w:r>
          </w:p>
          <w:p w14:paraId="17592B71"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7. Порядок регистрации и переоформления прав пользования недрами регулируется Положением о порядке лицензирования недропользования, утверждаемым постановлением Кабинета Министров Кыргызской Республики.</w:t>
            </w:r>
          </w:p>
          <w:p w14:paraId="17592B72"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c>
          <w:tcPr>
            <w:tcW w:w="6798" w:type="dxa"/>
          </w:tcPr>
          <w:p w14:paraId="17592B73"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r w:rsidRPr="00653E57">
              <w:rPr>
                <w:rFonts w:ascii="Times New Roman" w:hAnsi="Times New Roman" w:cs="Times New Roman"/>
                <w:sz w:val="24"/>
                <w:szCs w:val="24"/>
                <w:lang w:val="ru-RU"/>
              </w:rPr>
              <w:lastRenderedPageBreak/>
              <w:t>Статья 38. Залог и передача лицензий на право пользования недрами</w:t>
            </w:r>
          </w:p>
          <w:p w14:paraId="17592B74"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1. Лицензиат вправе заложить право пользования недрами третьему лицу на основании договора о залоге согласно требованиям Закона Кыргызской Республики "О залоге" с особенностями, установленными в настоящем Законе.</w:t>
            </w:r>
          </w:p>
          <w:p w14:paraId="17592B75"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2. Договор залога права пользования недрами подлежит государственной регистрации в уполномоченном государственном органе по недропользованию.</w:t>
            </w:r>
          </w:p>
          <w:p w14:paraId="17592B76"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Без регистрации договор залога права пользования недрами является ничтожным, а право по нему недействительным.</w:t>
            </w:r>
          </w:p>
          <w:p w14:paraId="17592B77"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Передача прав пользования недрами в залог не препятствует приостановлению и прекращению прав </w:t>
            </w:r>
            <w:r w:rsidRPr="00653E57">
              <w:rPr>
                <w:rFonts w:ascii="Times New Roman" w:hAnsi="Times New Roman" w:cs="Times New Roman"/>
                <w:sz w:val="24"/>
                <w:szCs w:val="24"/>
                <w:lang w:val="ru-RU"/>
              </w:rPr>
              <w:lastRenderedPageBreak/>
              <w:t>пользования недрами в предусмотренных законом случаях.</w:t>
            </w:r>
          </w:p>
          <w:p w14:paraId="17592B78"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3. Обращение взыскания на право пользования недрами по договору залога возможно не ранее 6 месяцев со дня его государственной регистрации.</w:t>
            </w:r>
          </w:p>
          <w:p w14:paraId="17592B79"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4. Переход лицензии к другому лицу в результате обращения взыскания на право пользования недрами является основанием для переоформления лицензии.</w:t>
            </w:r>
          </w:p>
          <w:p w14:paraId="17592B7A"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5. </w:t>
            </w:r>
            <w:r w:rsidRPr="00653E57">
              <w:rPr>
                <w:rFonts w:ascii="Times New Roman" w:hAnsi="Times New Roman" w:cs="Times New Roman"/>
                <w:b/>
                <w:bCs/>
                <w:sz w:val="24"/>
                <w:szCs w:val="24"/>
                <w:lang w:val="ru-RU"/>
              </w:rPr>
              <w:t>Если иное не предусмотрено настоящей статьей, лицензиат по истечении 2 лет с даты заключения лицензионного соглашения на проведение работ вправе передавать права пользования недрами по лицензии другим лицам с гарантией соблюдения ими условий действующего лицензионного соглашения. Передача права пользования недрами по лицензии возможна при отсутствии у недропользователя задолженностей по уплате сумм бонуса,                         роялти и сбора за пользование недрами</w:t>
            </w:r>
            <w:r w:rsidRPr="00653E57">
              <w:rPr>
                <w:rFonts w:ascii="Times New Roman" w:hAnsi="Times New Roman" w:cs="Times New Roman"/>
                <w:sz w:val="24"/>
                <w:szCs w:val="24"/>
                <w:lang w:val="ru-RU"/>
              </w:rPr>
              <w:t>.</w:t>
            </w:r>
          </w:p>
          <w:p w14:paraId="17592B7B"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Не допускается передача права пользования недрами в результате универсального правопреемства, предусмотренного гражданским законодательством, путем наследования.</w:t>
            </w:r>
          </w:p>
          <w:p w14:paraId="17592B7C"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Коммерческие банки, получившие права пользования недрами в результате обращения взыскания на залог, вправе передать права пользования недрами другим лицам без соблюдения срока, указанного в настоящей части.</w:t>
            </w:r>
          </w:p>
          <w:p w14:paraId="17592B7D"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6. Переход лицензии к другому лицу в результате обращения взыскания на залог или передаче прав </w:t>
            </w:r>
            <w:r w:rsidRPr="00653E57">
              <w:rPr>
                <w:rFonts w:ascii="Times New Roman" w:hAnsi="Times New Roman" w:cs="Times New Roman"/>
                <w:b/>
                <w:bCs/>
                <w:sz w:val="24"/>
                <w:szCs w:val="24"/>
                <w:lang w:val="ru-RU"/>
              </w:rPr>
              <w:t>пользования</w:t>
            </w:r>
            <w:r w:rsidRPr="00653E57">
              <w:rPr>
                <w:rFonts w:ascii="Times New Roman" w:hAnsi="Times New Roman" w:cs="Times New Roman"/>
                <w:sz w:val="24"/>
                <w:szCs w:val="24"/>
                <w:lang w:val="ru-RU"/>
              </w:rPr>
              <w:t xml:space="preserve"> </w:t>
            </w:r>
            <w:r w:rsidRPr="00653E57">
              <w:rPr>
                <w:rFonts w:ascii="Times New Roman" w:hAnsi="Times New Roman" w:cs="Times New Roman"/>
                <w:b/>
                <w:bCs/>
                <w:sz w:val="24"/>
                <w:szCs w:val="24"/>
                <w:lang w:val="ru-RU"/>
              </w:rPr>
              <w:t>недрами</w:t>
            </w:r>
            <w:r w:rsidRPr="00653E57">
              <w:rPr>
                <w:rFonts w:ascii="Times New Roman" w:hAnsi="Times New Roman" w:cs="Times New Roman"/>
                <w:sz w:val="24"/>
                <w:szCs w:val="24"/>
                <w:lang w:val="ru-RU"/>
              </w:rPr>
              <w:t xml:space="preserve"> по лицензии приравнивается к получению лицензии и влечет уплату бонуса, предусмотренного налоговым законодательством Кыргызской Республики, за исключением случаев перехода прав по лицензии в результате универсального правопреемства, предусмотренного гражданским законодательством.</w:t>
            </w:r>
          </w:p>
          <w:p w14:paraId="17592B7E" w14:textId="77777777" w:rsidR="00826FE0" w:rsidRPr="00653E57" w:rsidRDefault="00826FE0" w:rsidP="00A11565">
            <w:pPr>
              <w:pStyle w:val="tkTekst"/>
              <w:spacing w:line="240" w:lineRule="auto"/>
              <w:rPr>
                <w:rFonts w:ascii="Times New Roman" w:hAnsi="Times New Roman" w:cs="Times New Roman"/>
                <w:sz w:val="24"/>
                <w:szCs w:val="24"/>
                <w:lang w:val="ru-RU"/>
              </w:rPr>
            </w:pPr>
            <w:r w:rsidRPr="00653E57">
              <w:rPr>
                <w:rFonts w:ascii="Times New Roman" w:hAnsi="Times New Roman" w:cs="Times New Roman"/>
                <w:sz w:val="24"/>
                <w:szCs w:val="24"/>
                <w:lang w:val="ru-RU"/>
              </w:rPr>
              <w:t xml:space="preserve">7. Порядок регистрации и переоформления прав пользования недрами регулируется Положением о порядке </w:t>
            </w:r>
            <w:r w:rsidRPr="00653E57">
              <w:rPr>
                <w:rFonts w:ascii="Times New Roman" w:hAnsi="Times New Roman" w:cs="Times New Roman"/>
                <w:sz w:val="24"/>
                <w:szCs w:val="24"/>
                <w:lang w:val="ru-RU"/>
              </w:rPr>
              <w:lastRenderedPageBreak/>
              <w:t>лицензирования недропользования, утверждаемым постановлением Кабинета Министров Кыргызской Республики.</w:t>
            </w:r>
          </w:p>
          <w:p w14:paraId="17592B7F" w14:textId="77777777" w:rsidR="00826FE0" w:rsidRPr="00653E57" w:rsidRDefault="00826FE0" w:rsidP="00A11565">
            <w:pPr>
              <w:pStyle w:val="tkTekst"/>
              <w:spacing w:line="240" w:lineRule="auto"/>
              <w:rPr>
                <w:rFonts w:ascii="Times New Roman" w:hAnsi="Times New Roman" w:cs="Times New Roman"/>
                <w:b/>
                <w:bCs/>
                <w:sz w:val="24"/>
                <w:szCs w:val="24"/>
                <w:lang w:val="ru-RU"/>
              </w:rPr>
            </w:pPr>
            <w:r w:rsidRPr="00653E57">
              <w:rPr>
                <w:rFonts w:ascii="Times New Roman" w:hAnsi="Times New Roman" w:cs="Times New Roman"/>
                <w:b/>
                <w:bCs/>
                <w:sz w:val="24"/>
                <w:szCs w:val="24"/>
                <w:lang w:val="ru-RU"/>
              </w:rPr>
              <w:t>8. Лица, указанные в статье 25-1 настоящего Закона, вправе до срока, установленного частью 5 настоящей статьи, передать права пользования недрами по лицензии своему дочернему хозяйственному обществу с гарантией соблюдения им условий действующего лицензионного соглашения. Передача права пользования недрами по лицензии возможна при отсутствии у недропользователя задолженностей по уплате сумм бонуса, роялти и сбора за пользование недрами.</w:t>
            </w:r>
          </w:p>
          <w:p w14:paraId="17592B80" w14:textId="77777777" w:rsidR="00826FE0" w:rsidRPr="00653E57" w:rsidRDefault="00826FE0" w:rsidP="00A11565">
            <w:pPr>
              <w:pStyle w:val="tkZagolovok5"/>
              <w:spacing w:line="240" w:lineRule="auto"/>
              <w:jc w:val="both"/>
              <w:rPr>
                <w:rFonts w:ascii="Times New Roman" w:hAnsi="Times New Roman" w:cs="Times New Roman"/>
                <w:sz w:val="24"/>
                <w:szCs w:val="24"/>
                <w:lang w:val="ru-RU"/>
              </w:rPr>
            </w:pPr>
          </w:p>
        </w:tc>
      </w:tr>
      <w:tr w:rsidR="00826FE0" w:rsidRPr="00A11565" w14:paraId="17592B83" w14:textId="77777777" w:rsidTr="00A11565">
        <w:tc>
          <w:tcPr>
            <w:tcW w:w="817" w:type="dxa"/>
            <w:gridSpan w:val="2"/>
          </w:tcPr>
          <w:p w14:paraId="7DB9C678" w14:textId="085A4F38" w:rsidR="00826FE0" w:rsidRPr="00826FE0" w:rsidRDefault="00826FE0" w:rsidP="00A11565">
            <w:pPr>
              <w:pStyle w:val="tkZagolovok5"/>
              <w:spacing w:line="240" w:lineRule="auto"/>
              <w:ind w:right="29" w:firstLine="0"/>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lastRenderedPageBreak/>
              <w:t>3.</w:t>
            </w:r>
          </w:p>
        </w:tc>
        <w:tc>
          <w:tcPr>
            <w:tcW w:w="13041" w:type="dxa"/>
            <w:gridSpan w:val="3"/>
          </w:tcPr>
          <w:p w14:paraId="17592B82" w14:textId="4D096D7A" w:rsidR="00826FE0" w:rsidRPr="00653E57" w:rsidRDefault="00826FE0" w:rsidP="00A11565">
            <w:pPr>
              <w:pStyle w:val="tkZagolovok5"/>
              <w:spacing w:line="240" w:lineRule="auto"/>
              <w:jc w:val="center"/>
              <w:rPr>
                <w:rFonts w:ascii="Times New Roman" w:hAnsi="Times New Roman" w:cs="Times New Roman"/>
                <w:sz w:val="24"/>
                <w:szCs w:val="24"/>
                <w:lang w:val="ru-RU"/>
              </w:rPr>
            </w:pPr>
            <w:r w:rsidRPr="00653E57">
              <w:rPr>
                <w:rFonts w:ascii="Times New Roman" w:hAnsi="Times New Roman" w:cs="Times New Roman"/>
                <w:bCs w:val="0"/>
                <w:sz w:val="24"/>
                <w:szCs w:val="24"/>
                <w:lang w:val="ru-RU"/>
              </w:rPr>
              <w:t xml:space="preserve">Закон «О стратегических объектах </w:t>
            </w:r>
            <w:r w:rsidRPr="00653E57">
              <w:rPr>
                <w:rFonts w:ascii="Times New Roman" w:hAnsi="Times New Roman" w:cs="Times New Roman"/>
                <w:sz w:val="24"/>
                <w:szCs w:val="24"/>
                <w:lang w:val="ru-RU"/>
              </w:rPr>
              <w:t>Кыргызской Республики</w:t>
            </w:r>
            <w:r w:rsidRPr="00653E57">
              <w:rPr>
                <w:rFonts w:ascii="Times New Roman" w:hAnsi="Times New Roman" w:cs="Times New Roman"/>
                <w:bCs w:val="0"/>
                <w:sz w:val="24"/>
                <w:szCs w:val="24"/>
                <w:lang w:val="ru-RU"/>
              </w:rPr>
              <w:t>»</w:t>
            </w:r>
          </w:p>
        </w:tc>
      </w:tr>
      <w:tr w:rsidR="00826FE0" w:rsidRPr="00A11565" w14:paraId="17592BB9" w14:textId="77777777" w:rsidTr="00A11565">
        <w:tc>
          <w:tcPr>
            <w:tcW w:w="817" w:type="dxa"/>
            <w:gridSpan w:val="2"/>
          </w:tcPr>
          <w:p w14:paraId="28090CC8"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p>
        </w:tc>
        <w:tc>
          <w:tcPr>
            <w:tcW w:w="6243" w:type="dxa"/>
            <w:gridSpan w:val="2"/>
          </w:tcPr>
          <w:p w14:paraId="17592B84" w14:textId="05D719E5"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sz w:val="24"/>
                <w:szCs w:val="24"/>
                <w:lang w:val="ru-RU"/>
              </w:rPr>
              <w:t> </w:t>
            </w:r>
            <w:bookmarkStart w:id="0" w:name="st_2"/>
            <w:bookmarkEnd w:id="0"/>
            <w:r w:rsidRPr="00653E57">
              <w:rPr>
                <w:rFonts w:ascii="Times New Roman" w:eastAsia="Times New Roman" w:hAnsi="Times New Roman" w:cs="Times New Roman"/>
                <w:b/>
                <w:sz w:val="24"/>
                <w:szCs w:val="24"/>
                <w:lang w:val="ru-RU"/>
              </w:rPr>
              <w:t>Статья 2.</w:t>
            </w:r>
          </w:p>
          <w:p w14:paraId="17592B85"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w:t>
            </w:r>
          </w:p>
          <w:p w14:paraId="17592B86"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К стратегическим объектам относятся:</w:t>
            </w:r>
          </w:p>
          <w:p w14:paraId="17592B87"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имущество,  в том числе военная техника и оборудование, используемое Вооруженными Силами Кыргызской Республики; промышленные предприятия по производству и испытанию вооружения;</w:t>
            </w:r>
          </w:p>
          <w:p w14:paraId="17592B88"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 здания и помещения, используемые государственными органами Кыргызской Республики;</w:t>
            </w:r>
          </w:p>
          <w:p w14:paraId="17592B89"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3) имущество,  используемое гидрометеорологической, </w:t>
            </w:r>
            <w:proofErr w:type="spellStart"/>
            <w:r w:rsidRPr="00653E57">
              <w:rPr>
                <w:rFonts w:ascii="Times New Roman" w:eastAsia="Times New Roman" w:hAnsi="Times New Roman" w:cs="Times New Roman"/>
                <w:sz w:val="24"/>
                <w:szCs w:val="24"/>
                <w:lang w:val="ru-RU"/>
              </w:rPr>
              <w:t>экологической</w:t>
            </w:r>
            <w:proofErr w:type="gramStart"/>
            <w:r w:rsidRPr="00653E57">
              <w:rPr>
                <w:rFonts w:ascii="Times New Roman" w:eastAsia="Times New Roman" w:hAnsi="Times New Roman" w:cs="Times New Roman"/>
                <w:sz w:val="24"/>
                <w:szCs w:val="24"/>
                <w:lang w:val="ru-RU"/>
              </w:rPr>
              <w:t>,с</w:t>
            </w:r>
            <w:proofErr w:type="gramEnd"/>
            <w:r w:rsidRPr="00653E57">
              <w:rPr>
                <w:rFonts w:ascii="Times New Roman" w:eastAsia="Times New Roman" w:hAnsi="Times New Roman" w:cs="Times New Roman"/>
                <w:sz w:val="24"/>
                <w:szCs w:val="24"/>
                <w:lang w:val="ru-RU"/>
              </w:rPr>
              <w:t>анитарно</w:t>
            </w:r>
            <w:proofErr w:type="spellEnd"/>
            <w:r w:rsidRPr="00653E57">
              <w:rPr>
                <w:rFonts w:ascii="Times New Roman" w:eastAsia="Times New Roman" w:hAnsi="Times New Roman" w:cs="Times New Roman"/>
                <w:sz w:val="24"/>
                <w:szCs w:val="24"/>
                <w:lang w:val="ru-RU"/>
              </w:rPr>
              <w:t>-эпидемиологической, карантинной службами;</w:t>
            </w:r>
          </w:p>
          <w:p w14:paraId="17592B8A"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4) магистральные железнодорожные сети;</w:t>
            </w:r>
          </w:p>
          <w:p w14:paraId="17592B8B"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5) магистральные газопроводы;</w:t>
            </w:r>
          </w:p>
          <w:p w14:paraId="17592B8C"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6) национальная электрическая сеть;</w:t>
            </w:r>
          </w:p>
          <w:p w14:paraId="17592B8D"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7) гидро- и теплоэлектростанции,  кроме каскада </w:t>
            </w:r>
            <w:proofErr w:type="spellStart"/>
            <w:r w:rsidRPr="00653E57">
              <w:rPr>
                <w:rFonts w:ascii="Times New Roman" w:eastAsia="Times New Roman" w:hAnsi="Times New Roman" w:cs="Times New Roman"/>
                <w:sz w:val="24"/>
                <w:szCs w:val="24"/>
                <w:lang w:val="ru-RU"/>
              </w:rPr>
              <w:t>Токтогульских</w:t>
            </w:r>
            <w:proofErr w:type="spellEnd"/>
            <w:r w:rsidRPr="00653E57">
              <w:rPr>
                <w:rFonts w:ascii="Times New Roman" w:eastAsia="Times New Roman" w:hAnsi="Times New Roman" w:cs="Times New Roman"/>
                <w:sz w:val="24"/>
                <w:szCs w:val="24"/>
                <w:lang w:val="ru-RU"/>
              </w:rPr>
              <w:t xml:space="preserve"> гидроэлектростанций  и  национальной  высоковольтной линии электропередач, регулируемых Законом Кыргызской Республики "Об особом  статусе  каскада </w:t>
            </w:r>
            <w:proofErr w:type="spellStart"/>
            <w:r w:rsidRPr="00653E57">
              <w:rPr>
                <w:rFonts w:ascii="Times New Roman" w:eastAsia="Times New Roman" w:hAnsi="Times New Roman" w:cs="Times New Roman"/>
                <w:sz w:val="24"/>
                <w:szCs w:val="24"/>
                <w:lang w:val="ru-RU"/>
              </w:rPr>
              <w:lastRenderedPageBreak/>
              <w:t>Токтогульских</w:t>
            </w:r>
            <w:proofErr w:type="spellEnd"/>
            <w:r w:rsidRPr="00653E57">
              <w:rPr>
                <w:rFonts w:ascii="Times New Roman" w:eastAsia="Times New Roman" w:hAnsi="Times New Roman" w:cs="Times New Roman"/>
                <w:sz w:val="24"/>
                <w:szCs w:val="24"/>
                <w:lang w:val="ru-RU"/>
              </w:rPr>
              <w:t>  гидроэлектростанций  и национальной высоковольтной линии электропередач";</w:t>
            </w:r>
          </w:p>
          <w:p w14:paraId="17592B8E"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8) распределительные газо-, тепло- и электрические сети;</w:t>
            </w:r>
          </w:p>
          <w:p w14:paraId="17592B8F"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9) магистральные линии связи;</w:t>
            </w:r>
          </w:p>
          <w:p w14:paraId="17592B90"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10) национальная телерадиовещательная корпорация;</w:t>
            </w:r>
          </w:p>
          <w:p w14:paraId="17592B91"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11) республиканское производственное объединение радиорелейных магистралей телевидения и радиовещания;</w:t>
            </w:r>
          </w:p>
          <w:p w14:paraId="17592B92"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12) национальная почтовая сеть;</w:t>
            </w:r>
          </w:p>
          <w:p w14:paraId="17592B93"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13) аэропорты,  в том числе международные, а также аэронавигационные устройства системы управления воздушным движением;</w:t>
            </w:r>
          </w:p>
          <w:p w14:paraId="17592B94"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14) автовокзалы, автомобильные дороги общего пользования;</w:t>
            </w:r>
          </w:p>
          <w:p w14:paraId="17592B95"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15) недра,  лесной фонд, объекты лесного хозяйства, имеющие статус национальных заповедников,  заказников,  природных парков, особых биосферных территорий;</w:t>
            </w:r>
          </w:p>
          <w:p w14:paraId="17592B96"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16) объекты  водного  комплекса и водохозяйственные сооружения,  в том числе ледники,  естественные озера, реки, гидротехнические сооружения, коллекторы водохранилищ, водозаборы и </w:t>
            </w:r>
            <w:proofErr w:type="spellStart"/>
            <w:r w:rsidRPr="00653E57">
              <w:rPr>
                <w:rFonts w:ascii="Times New Roman" w:eastAsia="Times New Roman" w:hAnsi="Times New Roman" w:cs="Times New Roman"/>
                <w:sz w:val="24"/>
                <w:szCs w:val="24"/>
                <w:lang w:val="ru-RU"/>
              </w:rPr>
              <w:t>водонасосные</w:t>
            </w:r>
            <w:proofErr w:type="spellEnd"/>
            <w:r w:rsidRPr="00653E57">
              <w:rPr>
                <w:rFonts w:ascii="Times New Roman" w:eastAsia="Times New Roman" w:hAnsi="Times New Roman" w:cs="Times New Roman"/>
                <w:sz w:val="24"/>
                <w:szCs w:val="24"/>
                <w:lang w:val="ru-RU"/>
              </w:rPr>
              <w:t xml:space="preserve"> станции;</w:t>
            </w:r>
          </w:p>
          <w:p w14:paraId="17592B97"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17) объекты  организаций  здравоохранения  Кыргызской  Республики, имеющие статус национальных;</w:t>
            </w:r>
          </w:p>
          <w:p w14:paraId="17592B98"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18) хвостохранилища горно-металлургического производства;</w:t>
            </w:r>
          </w:p>
          <w:p w14:paraId="17592B99"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19) промышленные предприятия, перерабатывающие радиоактивные материалы;</w:t>
            </w:r>
          </w:p>
          <w:p w14:paraId="17592B9A"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20) объекты историко-культурного наследия.</w:t>
            </w:r>
          </w:p>
          <w:p w14:paraId="17592B9B"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 2. Пакеты акций (доли участия,  паи) в юридических лицах,  в собственности которых находятся стратегические объекты,  указанные в пункте 1 настоящей статьи, а также пакеты акций (доли участия, паи) </w:t>
            </w:r>
            <w:r w:rsidRPr="00653E57">
              <w:rPr>
                <w:rFonts w:ascii="Times New Roman" w:eastAsia="Times New Roman" w:hAnsi="Times New Roman" w:cs="Times New Roman"/>
                <w:sz w:val="24"/>
                <w:szCs w:val="24"/>
                <w:lang w:val="ru-RU"/>
              </w:rPr>
              <w:lastRenderedPageBreak/>
              <w:t>физических и юридических лиц, которые имеют возможность прямо или косвенно определять решения или оказывать влияние на принимаемые  решения  юридических лиц,  в  собственности которых находятся стратегические объекты,  могут быть отнесены к стратегическим объектам.</w:t>
            </w:r>
          </w:p>
          <w:p w14:paraId="17592B9C"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К стратегическим объектам могут быть отнесены также и предприятия, имеющие стратегическое значение для государства.</w:t>
            </w:r>
          </w:p>
          <w:p w14:paraId="17592B9D"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3. Перечень  стратегических  объектов  определяется Правительством Кыргызской Республики  по  рекомендации  Совета безопасности Кыргызской Республики.</w:t>
            </w:r>
          </w:p>
        </w:tc>
        <w:tc>
          <w:tcPr>
            <w:tcW w:w="6798" w:type="dxa"/>
          </w:tcPr>
          <w:p w14:paraId="17592B9E"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sz w:val="24"/>
                <w:szCs w:val="24"/>
                <w:lang w:val="ru-RU"/>
              </w:rPr>
              <w:lastRenderedPageBreak/>
              <w:t> </w:t>
            </w:r>
            <w:r w:rsidRPr="00653E57">
              <w:rPr>
                <w:rFonts w:ascii="Times New Roman" w:eastAsia="Times New Roman" w:hAnsi="Times New Roman" w:cs="Times New Roman"/>
                <w:b/>
                <w:sz w:val="24"/>
                <w:szCs w:val="24"/>
                <w:lang w:val="ru-RU"/>
              </w:rPr>
              <w:t>Статья 2.</w:t>
            </w:r>
          </w:p>
          <w:p w14:paraId="17592B9F"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w:t>
            </w:r>
          </w:p>
          <w:p w14:paraId="17592BA0"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К стратегическим объектам относятся:</w:t>
            </w:r>
          </w:p>
          <w:p w14:paraId="17592BA1"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 имущество,  в том числе военная техника и оборудование, используемое Вооруженными Силами Кыргызской Республики; промышленные предприятия по производству и испытанию вооружения;</w:t>
            </w:r>
          </w:p>
          <w:p w14:paraId="17592BA2"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 здания и помещения, используемые государственными органами Кыргызской Республики;</w:t>
            </w:r>
          </w:p>
          <w:p w14:paraId="17592BA3"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3) имущество,  используемое гидрометеорологической, </w:t>
            </w:r>
            <w:proofErr w:type="spellStart"/>
            <w:r w:rsidRPr="00653E57">
              <w:rPr>
                <w:rFonts w:ascii="Times New Roman" w:eastAsia="Times New Roman" w:hAnsi="Times New Roman" w:cs="Times New Roman"/>
                <w:sz w:val="24"/>
                <w:szCs w:val="24"/>
                <w:lang w:val="ru-RU"/>
              </w:rPr>
              <w:t>экологической</w:t>
            </w:r>
            <w:proofErr w:type="gramStart"/>
            <w:r w:rsidRPr="00653E57">
              <w:rPr>
                <w:rFonts w:ascii="Times New Roman" w:eastAsia="Times New Roman" w:hAnsi="Times New Roman" w:cs="Times New Roman"/>
                <w:sz w:val="24"/>
                <w:szCs w:val="24"/>
                <w:lang w:val="ru-RU"/>
              </w:rPr>
              <w:t>,с</w:t>
            </w:r>
            <w:proofErr w:type="gramEnd"/>
            <w:r w:rsidRPr="00653E57">
              <w:rPr>
                <w:rFonts w:ascii="Times New Roman" w:eastAsia="Times New Roman" w:hAnsi="Times New Roman" w:cs="Times New Roman"/>
                <w:sz w:val="24"/>
                <w:szCs w:val="24"/>
                <w:lang w:val="ru-RU"/>
              </w:rPr>
              <w:t>анитарно</w:t>
            </w:r>
            <w:proofErr w:type="spellEnd"/>
            <w:r w:rsidRPr="00653E57">
              <w:rPr>
                <w:rFonts w:ascii="Times New Roman" w:eastAsia="Times New Roman" w:hAnsi="Times New Roman" w:cs="Times New Roman"/>
                <w:sz w:val="24"/>
                <w:szCs w:val="24"/>
                <w:lang w:val="ru-RU"/>
              </w:rPr>
              <w:t>-эпидемиологической, карантинной службами;</w:t>
            </w:r>
          </w:p>
          <w:p w14:paraId="17592BA4"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4) магистральные железнодорожные сети;</w:t>
            </w:r>
          </w:p>
          <w:p w14:paraId="17592BA5"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5) магистральные газопроводы;</w:t>
            </w:r>
          </w:p>
          <w:p w14:paraId="17592BA6"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6) национальная электрическая сеть;</w:t>
            </w:r>
          </w:p>
          <w:p w14:paraId="17592BA7"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7) гидро- и теплоэлектростанции,  кроме каскада </w:t>
            </w:r>
            <w:proofErr w:type="spellStart"/>
            <w:r w:rsidRPr="00653E57">
              <w:rPr>
                <w:rFonts w:ascii="Times New Roman" w:eastAsia="Times New Roman" w:hAnsi="Times New Roman" w:cs="Times New Roman"/>
                <w:sz w:val="24"/>
                <w:szCs w:val="24"/>
                <w:lang w:val="ru-RU"/>
              </w:rPr>
              <w:t>Токтогульских</w:t>
            </w:r>
            <w:proofErr w:type="spellEnd"/>
            <w:r w:rsidRPr="00653E57">
              <w:rPr>
                <w:rFonts w:ascii="Times New Roman" w:eastAsia="Times New Roman" w:hAnsi="Times New Roman" w:cs="Times New Roman"/>
                <w:sz w:val="24"/>
                <w:szCs w:val="24"/>
                <w:lang w:val="ru-RU"/>
              </w:rPr>
              <w:t xml:space="preserve"> гидроэлектростанций  и  национальной  высоковольтной линии электропередач, регулируемых Законом Кыргызской Республики "Об особом  статусе  каскада </w:t>
            </w:r>
            <w:proofErr w:type="spellStart"/>
            <w:r w:rsidRPr="00653E57">
              <w:rPr>
                <w:rFonts w:ascii="Times New Roman" w:eastAsia="Times New Roman" w:hAnsi="Times New Roman" w:cs="Times New Roman"/>
                <w:sz w:val="24"/>
                <w:szCs w:val="24"/>
                <w:lang w:val="ru-RU"/>
              </w:rPr>
              <w:lastRenderedPageBreak/>
              <w:t>Токтогульских</w:t>
            </w:r>
            <w:proofErr w:type="spellEnd"/>
            <w:r w:rsidRPr="00653E57">
              <w:rPr>
                <w:rFonts w:ascii="Times New Roman" w:eastAsia="Times New Roman" w:hAnsi="Times New Roman" w:cs="Times New Roman"/>
                <w:sz w:val="24"/>
                <w:szCs w:val="24"/>
                <w:lang w:val="ru-RU"/>
              </w:rPr>
              <w:t>  гидроэлектростанций  и национальной высоковольтной линии электропередач";</w:t>
            </w:r>
          </w:p>
          <w:p w14:paraId="17592BA8"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8) распределительные газо-, тепло- и электрические сети;</w:t>
            </w:r>
          </w:p>
          <w:p w14:paraId="17592BA9"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9) магистральные линии связи;</w:t>
            </w:r>
          </w:p>
          <w:p w14:paraId="17592BAA"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10) национальная телерадиовещательная корпорация;</w:t>
            </w:r>
          </w:p>
          <w:p w14:paraId="17592BAB"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11) республиканское производственное объединение радиорелейных магистралей телевидения и радиовещания;</w:t>
            </w:r>
          </w:p>
          <w:p w14:paraId="17592BAC"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12) национальная почтовая сеть;</w:t>
            </w:r>
          </w:p>
          <w:p w14:paraId="17592BAD"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13) аэропорты,  в том числе международные, а также аэронавигационные устройства системы управления воздушным движением;</w:t>
            </w:r>
          </w:p>
          <w:p w14:paraId="17592BAE"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14) автовокзалы, автомобильные дороги общего пользования;</w:t>
            </w:r>
          </w:p>
          <w:p w14:paraId="17592BAF"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15) недра,  лесной фонд, объекты лесного хозяйства, имеющие статус национальных заповедников,  заказников,  природных парков, особых биосферных территорий;</w:t>
            </w:r>
          </w:p>
          <w:p w14:paraId="17592BB0"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16) объекты  водного  комплекса и водохозяйственные сооружения,  в том числе ледники,  естественные озера, реки, гидротехнические сооружения, коллекторы водохранилищ, водозаборы и </w:t>
            </w:r>
            <w:proofErr w:type="spellStart"/>
            <w:r w:rsidRPr="00653E57">
              <w:rPr>
                <w:rFonts w:ascii="Times New Roman" w:eastAsia="Times New Roman" w:hAnsi="Times New Roman" w:cs="Times New Roman"/>
                <w:sz w:val="24"/>
                <w:szCs w:val="24"/>
                <w:lang w:val="ru-RU"/>
              </w:rPr>
              <w:t>водонасосные</w:t>
            </w:r>
            <w:proofErr w:type="spellEnd"/>
            <w:r w:rsidRPr="00653E57">
              <w:rPr>
                <w:rFonts w:ascii="Times New Roman" w:eastAsia="Times New Roman" w:hAnsi="Times New Roman" w:cs="Times New Roman"/>
                <w:sz w:val="24"/>
                <w:szCs w:val="24"/>
                <w:lang w:val="ru-RU"/>
              </w:rPr>
              <w:t xml:space="preserve"> станции;</w:t>
            </w:r>
          </w:p>
          <w:p w14:paraId="17592BB1"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17) объекты  организаций  здравоохранения  Кыргызской  Республики, имеющие статус национальных;</w:t>
            </w:r>
          </w:p>
          <w:p w14:paraId="17592BB2"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18) хвостохранилища горно-металлургического производства;</w:t>
            </w:r>
          </w:p>
          <w:p w14:paraId="17592BB3"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19) промышленные предприятия, перерабатывающие радиоактивные материалы;</w:t>
            </w:r>
          </w:p>
          <w:p w14:paraId="17592BB4"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20) объекты историко-культурного наследия;</w:t>
            </w:r>
          </w:p>
          <w:p w14:paraId="17592BB5"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21) национальные холдинговые компании.</w:t>
            </w:r>
          </w:p>
          <w:p w14:paraId="17592BB6"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 2. Пакеты акций (доли участия,  паи) в юридических лицах,  в собственности которых находятся стратегические объекты,  указанные в пункте 1 настоящей статьи, а также пакеты акций (доли участия, паи) физических и юридических лиц, которые имеют возможность прямо или косвенно определять решения или оказывать влияние на </w:t>
            </w:r>
            <w:r w:rsidRPr="00653E57">
              <w:rPr>
                <w:rFonts w:ascii="Times New Roman" w:eastAsia="Times New Roman" w:hAnsi="Times New Roman" w:cs="Times New Roman"/>
                <w:sz w:val="24"/>
                <w:szCs w:val="24"/>
                <w:lang w:val="ru-RU"/>
              </w:rPr>
              <w:lastRenderedPageBreak/>
              <w:t>принимаемые  решения  юридических лиц,  в  собственности которых находятся стратегические объекты,  могут быть отнесены к стратегическим объектам.</w:t>
            </w:r>
          </w:p>
          <w:p w14:paraId="17592BB7"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К стратегическим объектам могут быть отнесены также и предприятия, имеющие стратегическое значение для государства.</w:t>
            </w:r>
          </w:p>
          <w:p w14:paraId="17592BB8"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3. Перечень  стратегических  объектов  определяется Правительством Кыргызской Республики  по  рекомендации  Совета безопасности Кыргызской Республики.</w:t>
            </w:r>
          </w:p>
        </w:tc>
      </w:tr>
      <w:tr w:rsidR="00826FE0" w:rsidRPr="00A11565" w14:paraId="17592BBB" w14:textId="77777777" w:rsidTr="00A11565">
        <w:tc>
          <w:tcPr>
            <w:tcW w:w="817" w:type="dxa"/>
            <w:gridSpan w:val="2"/>
          </w:tcPr>
          <w:p w14:paraId="17E83CB6" w14:textId="6DBC17B3" w:rsidR="00826FE0" w:rsidRPr="00826FE0" w:rsidRDefault="00826FE0" w:rsidP="00A11565">
            <w:pPr>
              <w:pStyle w:val="tkZagolovok5"/>
              <w:spacing w:line="240" w:lineRule="auto"/>
              <w:ind w:right="29" w:firstLine="0"/>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lastRenderedPageBreak/>
              <w:t>4.</w:t>
            </w:r>
          </w:p>
        </w:tc>
        <w:tc>
          <w:tcPr>
            <w:tcW w:w="13041" w:type="dxa"/>
            <w:gridSpan w:val="3"/>
          </w:tcPr>
          <w:p w14:paraId="17592BBA" w14:textId="2F137124" w:rsidR="00826FE0" w:rsidRPr="00653E57" w:rsidRDefault="00826FE0" w:rsidP="00A11565">
            <w:pPr>
              <w:shd w:val="clear" w:color="auto" w:fill="FFFFFF"/>
              <w:spacing w:after="0" w:line="240" w:lineRule="auto"/>
              <w:ind w:firstLine="426"/>
              <w:jc w:val="center"/>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Закон «О приватизации государственной собственности в Кыргызской Республике»</w:t>
            </w:r>
          </w:p>
        </w:tc>
      </w:tr>
      <w:tr w:rsidR="00826FE0" w:rsidRPr="00A11565" w14:paraId="17592BE6" w14:textId="77777777" w:rsidTr="00A11565">
        <w:tc>
          <w:tcPr>
            <w:tcW w:w="817" w:type="dxa"/>
            <w:gridSpan w:val="2"/>
          </w:tcPr>
          <w:p w14:paraId="54DB0EA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p>
        </w:tc>
        <w:tc>
          <w:tcPr>
            <w:tcW w:w="6243" w:type="dxa"/>
            <w:gridSpan w:val="2"/>
          </w:tcPr>
          <w:p w14:paraId="17592BBC" w14:textId="4233B60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t>Статья 7. Компетенция уполномоченных государственных органов</w:t>
            </w:r>
          </w:p>
          <w:p w14:paraId="17592BB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Уполномоченный государственный орган по выработке политики в сфере управления государственным имуществом осуществляет:</w:t>
            </w:r>
          </w:p>
          <w:p w14:paraId="17592BB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разработку в пределах своей компетенции, предусмотренной настоящим Законом, Программы приватизации, других законов, нормативных правовых актов, регулирующих порядок осуществления приватизации государственного имущества;</w:t>
            </w:r>
          </w:p>
          <w:p w14:paraId="17592BB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разработку и представление Правительству Кыргызской Республики совместно с соответствующими государственными органами проекта Программы приватизации;</w:t>
            </w:r>
          </w:p>
          <w:p w14:paraId="17592BC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мониторинг выполнения Программы приватизации.</w:t>
            </w:r>
          </w:p>
          <w:p w14:paraId="17592BC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Уполномоченный государственный орган в сфере </w:t>
            </w:r>
            <w:r w:rsidRPr="00653E57">
              <w:rPr>
                <w:rFonts w:ascii="Times New Roman" w:eastAsia="Times New Roman" w:hAnsi="Times New Roman" w:cs="Times New Roman"/>
                <w:sz w:val="24"/>
                <w:szCs w:val="24"/>
                <w:lang w:val="ru-RU"/>
              </w:rPr>
              <w:lastRenderedPageBreak/>
              <w:t>управления государственным имуществом осуществляет:</w:t>
            </w:r>
          </w:p>
          <w:p w14:paraId="17592BC2"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реализацию Программы приватизации;</w:t>
            </w:r>
          </w:p>
          <w:p w14:paraId="17592BC3"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обеспечение эффективности использования государственного имущества;</w:t>
            </w:r>
          </w:p>
          <w:p w14:paraId="17592BC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защиту интересов и имущественных прав республики;</w:t>
            </w:r>
          </w:p>
          <w:p w14:paraId="17592BC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продажу объектов приватизации;</w:t>
            </w:r>
          </w:p>
          <w:p w14:paraId="17592BC6"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организацию учета государственного имущества и ведение его реестра;</w:t>
            </w:r>
          </w:p>
          <w:p w14:paraId="17592BC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ведение учета подлежащих приватизации принадлежащих государству акций (долей) в уставном капитале хозяйственных обществ, а также учет и контроль выполнения обязательств покупателей, определенных договорами купли-продажи государственного имущества;</w:t>
            </w:r>
          </w:p>
          <w:p w14:paraId="17592BC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ведение статистической и бухгалтерской отчетности о движении денежных средств, полученных в результате приватизации государственного имущества;</w:t>
            </w:r>
          </w:p>
          <w:p w14:paraId="17592BC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получение и перечисление денежных средств, полученных в результате приватизации государственного имущества, в соответствии с установленными нормативами;</w:t>
            </w:r>
          </w:p>
          <w:p w14:paraId="17592BC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подготовку договора с другими государствами на установление права владения и пользования объектами государственного имущества в Кыргызской Республике и соответственно Кыргызской Республики на территории других государств;</w:t>
            </w:r>
          </w:p>
          <w:p w14:paraId="17592BC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представление интересов государства путем вступления учредителем юридических лиц;</w:t>
            </w:r>
          </w:p>
          <w:p w14:paraId="17592BC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xml:space="preserve">представление интересов государства путем осуществления полномочий акционера (участника) в хозяйственных обществах, в которых имеются принадлежащие государству акции (доли) в уставном </w:t>
            </w:r>
            <w:r w:rsidRPr="00653E57">
              <w:rPr>
                <w:rFonts w:ascii="Times New Roman" w:eastAsia="Times New Roman" w:hAnsi="Times New Roman" w:cs="Times New Roman"/>
                <w:sz w:val="24"/>
                <w:szCs w:val="24"/>
                <w:lang w:val="ru-RU"/>
              </w:rPr>
              <w:lastRenderedPageBreak/>
              <w:t>капитале;</w:t>
            </w:r>
          </w:p>
          <w:p w14:paraId="17592BC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меры по обеспечению перечисления дивидендов и иных доходов по акциям (долям) в уставном капитале хозяйственных обществ, в которых уполномоченный государственный орган в сфере управления государственным имуществом от имени государства осуществляет полномочия акционера (участника);</w:t>
            </w:r>
          </w:p>
          <w:p w14:paraId="17592BC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представление интересов государства путем вступления учредителем доверительного управления в отношении имущества, находящегося в государственной собственности;</w:t>
            </w:r>
          </w:p>
          <w:p w14:paraId="17592BC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создание комиссии по приватизации государственного имущества.</w:t>
            </w:r>
          </w:p>
          <w:p w14:paraId="17592BD0" w14:textId="77777777" w:rsidR="00826FE0" w:rsidRPr="00653E57"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p>
        </w:tc>
        <w:tc>
          <w:tcPr>
            <w:tcW w:w="6798" w:type="dxa"/>
          </w:tcPr>
          <w:p w14:paraId="17592BD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b/>
                <w:sz w:val="24"/>
                <w:szCs w:val="24"/>
                <w:lang w:val="ru-RU"/>
              </w:rPr>
              <w:lastRenderedPageBreak/>
              <w:t>Статья 7. Компетенция уполномоченных государственных органов</w:t>
            </w:r>
          </w:p>
          <w:p w14:paraId="17592BD2"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 Уполномоченный государственный орган по выработке политики в сфере управления государственным имуществом осуществляет:</w:t>
            </w:r>
          </w:p>
          <w:p w14:paraId="17592BD3"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разработку в пределах своей компетенции, предусмотренной настоящим Законом, Программы приватизации, других законов, нормативных правовых актов, регулирующих порядок осуществления приватизации государственного имущества;</w:t>
            </w:r>
          </w:p>
          <w:p w14:paraId="17592BD4"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разработку и представление Правительству Кыргызской Республики совместно с соответствующими государственными органами проекта Программы приватизации;</w:t>
            </w:r>
          </w:p>
          <w:p w14:paraId="17592BD5"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мониторинг выполнения Программы приватизации.</w:t>
            </w:r>
          </w:p>
          <w:p w14:paraId="17592BD6"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Уполномоченный государственный орган в сфере управления государственным имуществом осуществляет:</w:t>
            </w:r>
          </w:p>
          <w:p w14:paraId="17592BD7"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lastRenderedPageBreak/>
              <w:t>реализацию Программы приватизации;</w:t>
            </w:r>
          </w:p>
          <w:p w14:paraId="17592BD8"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обеспечение эффективности использования государственного имущества;</w:t>
            </w:r>
          </w:p>
          <w:p w14:paraId="17592BD9"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защиту интересов и имущественных прав республики;</w:t>
            </w:r>
          </w:p>
          <w:p w14:paraId="17592BDA"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продажу объектов приватизации;</w:t>
            </w:r>
          </w:p>
          <w:p w14:paraId="17592BDB"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организацию учета государственного имущества и ведение его реестра;</w:t>
            </w:r>
          </w:p>
          <w:p w14:paraId="17592BDC"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ведение учета подлежащих приватизации принадлежащих государству акций (долей) в уставном капитале хозяйственных обществ, а также учет и контроль выполнения обязательств покупателей, определенных договорами купли-продажи государственного имущества;</w:t>
            </w:r>
          </w:p>
          <w:p w14:paraId="17592BDD"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ведение статистической и бухгалтерской отчетности о движении денежных средств, полученных в результате приватизации государственного имущества;</w:t>
            </w:r>
          </w:p>
          <w:p w14:paraId="17592BDE"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получение и перечисление денежных средств, полученных в результате приватизации государственного имущества, в соответствии с установленными нормативами;</w:t>
            </w:r>
          </w:p>
          <w:p w14:paraId="17592BDF"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подготовку договора с другими государствами на установление права владения и пользования объектами государственного имущества в Кыргызской Республике и соответственно Кыргызской Республики на территории других государств;</w:t>
            </w:r>
          </w:p>
          <w:p w14:paraId="17592BE0"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представление интересов государства путем вступления учредителем юридических лиц;</w:t>
            </w:r>
          </w:p>
          <w:p w14:paraId="17592BE1"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b/>
                <w:sz w:val="24"/>
                <w:szCs w:val="24"/>
                <w:lang w:val="ru-RU"/>
              </w:rPr>
            </w:pPr>
            <w:r w:rsidRPr="00653E57">
              <w:rPr>
                <w:rFonts w:ascii="Times New Roman" w:eastAsia="Times New Roman" w:hAnsi="Times New Roman" w:cs="Times New Roman"/>
                <w:sz w:val="24"/>
                <w:szCs w:val="24"/>
                <w:lang w:val="ru-RU"/>
              </w:rPr>
              <w:t xml:space="preserve">представление интересов государства путем осуществления полномочий акционера (участника) в хозяйственных обществах, в которых имеются принадлежащие государству акции (доли) в уставном капитале, </w:t>
            </w:r>
            <w:r w:rsidRPr="00653E57">
              <w:rPr>
                <w:rFonts w:ascii="Times New Roman" w:eastAsia="Times New Roman" w:hAnsi="Times New Roman" w:cs="Times New Roman"/>
                <w:b/>
                <w:sz w:val="24"/>
                <w:szCs w:val="24"/>
                <w:lang w:val="ru-RU"/>
              </w:rPr>
              <w:t xml:space="preserve">за исключением хозяйственных обществ, в которых решением Кабинета Министров Кыргызской Республики полномочия </w:t>
            </w:r>
            <w:r w:rsidRPr="00653E57">
              <w:rPr>
                <w:rFonts w:ascii="Times New Roman" w:eastAsia="Times New Roman" w:hAnsi="Times New Roman" w:cs="Times New Roman"/>
                <w:b/>
                <w:sz w:val="24"/>
                <w:szCs w:val="24"/>
                <w:lang w:val="ru-RU"/>
              </w:rPr>
              <w:lastRenderedPageBreak/>
              <w:t>акционера (участника) переданы определенному государственному органу;</w:t>
            </w:r>
          </w:p>
          <w:p w14:paraId="17592BE2"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меры по обеспечению перечисления дивидендов и иных доходов по акциям (долям) в уставном капитале хозяйственных обществ, в которых уполномоченный государственный орган в сфере управления государственным имуществом от имени государства осуществляет полномочия акционера (участника);</w:t>
            </w:r>
          </w:p>
          <w:p w14:paraId="17592BE3" w14:textId="77777777" w:rsidR="00826FE0" w:rsidRPr="00653E57"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представление интересов государства путем вступления учредителем доверительного управления в отношении имущества, находящегося в государственной собственности;</w:t>
            </w:r>
          </w:p>
          <w:p w14:paraId="17592BE4" w14:textId="77777777" w:rsidR="00826FE0" w:rsidRPr="007F4D6E" w:rsidRDefault="00826FE0" w:rsidP="00A11565">
            <w:pPr>
              <w:shd w:val="clear" w:color="auto" w:fill="FFFFFF"/>
              <w:spacing w:after="120" w:line="240" w:lineRule="auto"/>
              <w:ind w:firstLine="397"/>
              <w:jc w:val="both"/>
              <w:rPr>
                <w:rFonts w:ascii="Times New Roman" w:eastAsia="Times New Roman" w:hAnsi="Times New Roman" w:cs="Times New Roman"/>
                <w:sz w:val="24"/>
                <w:szCs w:val="24"/>
                <w:lang w:val="ru-RU"/>
              </w:rPr>
            </w:pPr>
            <w:r w:rsidRPr="00653E57">
              <w:rPr>
                <w:rFonts w:ascii="Times New Roman" w:eastAsia="Times New Roman" w:hAnsi="Times New Roman" w:cs="Times New Roman"/>
                <w:sz w:val="24"/>
                <w:szCs w:val="24"/>
                <w:lang w:val="ru-RU"/>
              </w:rPr>
              <w:t>создание комиссии по приватизации государственного имущества.</w:t>
            </w:r>
          </w:p>
          <w:p w14:paraId="17592BE5" w14:textId="77777777" w:rsidR="00826FE0" w:rsidRPr="007F4D6E" w:rsidRDefault="00826FE0" w:rsidP="00A11565">
            <w:pPr>
              <w:shd w:val="clear" w:color="auto" w:fill="FFFFFF"/>
              <w:spacing w:after="0" w:line="240" w:lineRule="auto"/>
              <w:ind w:firstLine="426"/>
              <w:jc w:val="both"/>
              <w:rPr>
                <w:rFonts w:ascii="Times New Roman" w:eastAsia="Times New Roman" w:hAnsi="Times New Roman" w:cs="Times New Roman"/>
                <w:sz w:val="24"/>
                <w:szCs w:val="24"/>
                <w:lang w:val="ru-RU"/>
              </w:rPr>
            </w:pPr>
          </w:p>
        </w:tc>
      </w:tr>
      <w:tr w:rsidR="00826FE0" w:rsidRPr="00A11565" w14:paraId="59789333" w14:textId="77777777" w:rsidTr="00A11565">
        <w:trPr>
          <w:gridBefore w:val="1"/>
          <w:wBefore w:w="7" w:type="dxa"/>
          <w:trHeight w:val="705"/>
        </w:trPr>
        <w:tc>
          <w:tcPr>
            <w:tcW w:w="810" w:type="dxa"/>
          </w:tcPr>
          <w:p w14:paraId="1F01F8D1" w14:textId="127DCD72" w:rsidR="00826FE0" w:rsidRPr="00F009D6" w:rsidRDefault="00826FE0" w:rsidP="00A11565">
            <w:pPr>
              <w:pStyle w:val="tkZagolovok5"/>
              <w:spacing w:line="240" w:lineRule="auto"/>
              <w:ind w:right="29" w:firstLine="0"/>
              <w:rPr>
                <w:rFonts w:ascii="Times New Roman" w:hAnsi="Times New Roman" w:cs="Times New Roman"/>
                <w:sz w:val="24"/>
                <w:szCs w:val="24"/>
                <w:lang w:val="ru-RU"/>
              </w:rPr>
            </w:pPr>
            <w:r w:rsidRPr="00F009D6">
              <w:rPr>
                <w:rFonts w:ascii="Times New Roman" w:hAnsi="Times New Roman" w:cs="Times New Roman"/>
                <w:sz w:val="24"/>
                <w:szCs w:val="24"/>
                <w:lang w:val="ru-RU"/>
              </w:rPr>
              <w:lastRenderedPageBreak/>
              <w:t>1</w:t>
            </w:r>
          </w:p>
        </w:tc>
        <w:tc>
          <w:tcPr>
            <w:tcW w:w="13041" w:type="dxa"/>
            <w:gridSpan w:val="3"/>
            <w:vAlign w:val="center"/>
          </w:tcPr>
          <w:p w14:paraId="29B32AAA" w14:textId="77777777" w:rsidR="00826FE0" w:rsidRPr="00F009D6" w:rsidRDefault="00826FE0" w:rsidP="00A11565">
            <w:pPr>
              <w:spacing w:line="240" w:lineRule="auto"/>
              <w:jc w:val="center"/>
              <w:rPr>
                <w:rFonts w:ascii="Times New Roman" w:hAnsi="Times New Roman" w:cs="Times New Roman"/>
                <w:b/>
                <w:bCs/>
                <w:sz w:val="24"/>
                <w:szCs w:val="24"/>
                <w:lang w:val="ru-RU"/>
              </w:rPr>
            </w:pPr>
            <w:r w:rsidRPr="00F009D6">
              <w:rPr>
                <w:rFonts w:ascii="Times New Roman" w:hAnsi="Times New Roman" w:cs="Times New Roman"/>
                <w:b/>
                <w:bCs/>
                <w:sz w:val="24"/>
                <w:szCs w:val="24"/>
                <w:lang w:val="ru-RU"/>
              </w:rPr>
              <w:t>Закон Кыргызской Республики «О коммерческой тайне»</w:t>
            </w:r>
          </w:p>
        </w:tc>
      </w:tr>
      <w:tr w:rsidR="00826FE0" w:rsidRPr="00A11565" w14:paraId="2E817223" w14:textId="77777777" w:rsidTr="00D13EDA">
        <w:trPr>
          <w:gridBefore w:val="1"/>
          <w:wBefore w:w="7" w:type="dxa"/>
        </w:trPr>
        <w:tc>
          <w:tcPr>
            <w:tcW w:w="810" w:type="dxa"/>
          </w:tcPr>
          <w:p w14:paraId="01B3E465" w14:textId="01E9E086" w:rsidR="00826FE0" w:rsidRPr="00F009D6" w:rsidRDefault="00826FE0" w:rsidP="00A11565">
            <w:pPr>
              <w:spacing w:line="240" w:lineRule="auto"/>
              <w:rPr>
                <w:rFonts w:ascii="Times New Roman" w:hAnsi="Times New Roman" w:cs="Times New Roman"/>
                <w:sz w:val="24"/>
                <w:szCs w:val="24"/>
                <w:lang w:val="ru-RU"/>
              </w:rPr>
            </w:pPr>
          </w:p>
        </w:tc>
        <w:tc>
          <w:tcPr>
            <w:tcW w:w="6237" w:type="dxa"/>
          </w:tcPr>
          <w:p w14:paraId="6D4DBA80" w14:textId="77777777" w:rsidR="00826FE0" w:rsidRPr="00F009D6" w:rsidRDefault="00826FE0" w:rsidP="00A11565">
            <w:pPr>
              <w:pStyle w:val="tkZagolovok5"/>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Статья 5. Объекты коммерческой тайны</w:t>
            </w:r>
          </w:p>
          <w:p w14:paraId="59F8A91A"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1. Объектами коммерческой тайны являются преднамеренно скрываемые экономические интересы и сведения о различных сторонах и сферах производственно-хозяйственной, управленческой, научно-технической, финансовой деятельности хозяйствующего субъекта, охрана которых обусловлена интересами конкуренции и возможной угрозой экономической безопасности хозяйствующего субъекта.</w:t>
            </w:r>
          </w:p>
          <w:p w14:paraId="337C2AE1"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2. Содержание и объем сведений, составляющих коммерческую тайну, определяются субъектами предпринимательства.</w:t>
            </w:r>
          </w:p>
          <w:p w14:paraId="3D85CAD0"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3. К объектам коммерческой тайны не могут относиться:</w:t>
            </w:r>
          </w:p>
          <w:p w14:paraId="50C25591"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 xml:space="preserve">а) учредительные документы, а также документы, дающие право на занятие предпринимательской </w:t>
            </w:r>
            <w:r w:rsidRPr="00F009D6">
              <w:rPr>
                <w:rFonts w:ascii="Times New Roman" w:hAnsi="Times New Roman" w:cs="Times New Roman"/>
                <w:sz w:val="24"/>
                <w:szCs w:val="24"/>
                <w:lang w:val="ru-RU"/>
              </w:rPr>
              <w:lastRenderedPageBreak/>
              <w:t>деятельностью и отдельными видами хозяйственной деятельности, подлежащей лицензированию (устав, решение о создании предприятия или договор учредителей, регистрационные удостоверения, лицензии, патенты);</w:t>
            </w:r>
          </w:p>
          <w:p w14:paraId="4A598ADE"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б) сведения по утвержденным формам статистической отчетности, а также отчетности о финансово-экономической деятельности и иные данные, необходимые для проверки правильности исчисления и уплаты налогов, а также других обязательных платежей;</w:t>
            </w:r>
          </w:p>
          <w:p w14:paraId="683155C4"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в) документы об уплате налогов и других обязательных платежей;</w:t>
            </w:r>
          </w:p>
          <w:p w14:paraId="47B4285A"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г) документы, удостоверяющие платежеспособность;</w:t>
            </w:r>
          </w:p>
          <w:p w14:paraId="657CF0F7"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е) сведения о численности, составе работников, заработной плате руководителя организации и членов коллегиального исполнительного органа организации, системе оплаты труда, об условиях труда, в том числе об охране труда, о показателях производственного травматизма и профессиональной заболеваемости и наличии свободных рабочих мест;</w:t>
            </w:r>
          </w:p>
          <w:p w14:paraId="05351FA2"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ж) сведения о загрязнении окружающей среды, нарушении антимонопольного законодательства, несоблюдении правил охраны труда, реализации продукции, причиняющей вред здоровью потребителей, а также о других нарушениях законодательства и размерах причиненного при этом ущерба;</w:t>
            </w:r>
          </w:p>
          <w:p w14:paraId="61B8AE28" w14:textId="4C60065D"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з) сведения об участии должностных лиц государственных предприятий в организациях, занимающихся предпринимательской деятельностью.</w:t>
            </w:r>
          </w:p>
        </w:tc>
        <w:tc>
          <w:tcPr>
            <w:tcW w:w="6804" w:type="dxa"/>
            <w:gridSpan w:val="2"/>
          </w:tcPr>
          <w:p w14:paraId="04FE1053" w14:textId="77777777" w:rsidR="00826FE0" w:rsidRPr="00F009D6" w:rsidRDefault="00826FE0" w:rsidP="00A11565">
            <w:pPr>
              <w:pStyle w:val="tkZagolovok5"/>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lastRenderedPageBreak/>
              <w:t>Статья 5. Объекты коммерческой тайны</w:t>
            </w:r>
          </w:p>
          <w:p w14:paraId="21C4E0D3"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1. Объектами коммерческой тайны являются преднамеренно скрываемые экономические интересы и сведения о различных сторонах и сферах производственно-хозяйственной, управленческой, научно-технической, финансовой деятельности хозяйствующего субъекта, охрана которых обусловлена интересами конкуренции и возможной угрозой экономической безопасности хозяйствующего субъекта.</w:t>
            </w:r>
          </w:p>
          <w:p w14:paraId="18F1B9A0"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2. Содержание и объем сведений, составляющих коммерческую тайну, определяются субъектами предпринимательства.</w:t>
            </w:r>
          </w:p>
          <w:p w14:paraId="0C6AE0BB"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3. К объектам коммерческой тайны не могут относиться:</w:t>
            </w:r>
          </w:p>
          <w:p w14:paraId="7B3C22D9"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 xml:space="preserve">а) учредительные документы, а также документы, дающие право на занятие предпринимательской деятельностью и отдельными видами хозяйственной деятельности, подлежащей </w:t>
            </w:r>
            <w:r w:rsidRPr="00F009D6">
              <w:rPr>
                <w:rFonts w:ascii="Times New Roman" w:hAnsi="Times New Roman" w:cs="Times New Roman"/>
                <w:sz w:val="24"/>
                <w:szCs w:val="24"/>
                <w:lang w:val="ru-RU"/>
              </w:rPr>
              <w:lastRenderedPageBreak/>
              <w:t>лицензированию (устав, решение о создании предприятия или договор учредителей, регистрационные удостоверения, лицензии, патенты);</w:t>
            </w:r>
          </w:p>
          <w:p w14:paraId="4D11D285"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б) сведения по утвержденным формам статистической отчетности, а также отчетности о финансово-экономической деятельности и иные данные, необходимые для проверки правильности исчисления и уплаты налогов, а также других обязательных платежей;</w:t>
            </w:r>
          </w:p>
          <w:p w14:paraId="3FC6238A"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в) документы об уплате налогов и других обязательных платежей;</w:t>
            </w:r>
          </w:p>
          <w:p w14:paraId="2F4E3C33"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г) документы, удостоверяющие платежеспособность;</w:t>
            </w:r>
          </w:p>
          <w:p w14:paraId="67684CE9" w14:textId="30016120"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 xml:space="preserve">е) сведения о численности, составе работников, </w:t>
            </w:r>
            <w:r w:rsidRPr="000537B2">
              <w:rPr>
                <w:rFonts w:ascii="Times New Roman" w:hAnsi="Times New Roman" w:cs="Times New Roman"/>
                <w:b/>
                <w:bCs/>
                <w:strike/>
                <w:sz w:val="24"/>
                <w:szCs w:val="24"/>
                <w:lang w:val="ru-RU"/>
              </w:rPr>
              <w:t>заработной плате руководителя организации и членов коллегиального исполнительного органа организации</w:t>
            </w:r>
            <w:r w:rsidR="00D13EDA">
              <w:rPr>
                <w:rFonts w:ascii="Times New Roman" w:hAnsi="Times New Roman" w:cs="Times New Roman"/>
                <w:sz w:val="24"/>
                <w:szCs w:val="24"/>
                <w:lang w:val="ru-RU"/>
              </w:rPr>
              <w:t>,</w:t>
            </w:r>
            <w:r w:rsidRPr="00F009D6">
              <w:rPr>
                <w:rFonts w:ascii="Times New Roman" w:hAnsi="Times New Roman" w:cs="Times New Roman"/>
                <w:sz w:val="24"/>
                <w:szCs w:val="24"/>
                <w:lang w:val="ru-RU"/>
              </w:rPr>
              <w:t xml:space="preserve"> системе оплаты труда, об условиях труда, в том числе об охране труда, о показателях производственного травматизма и профессиональной заболеваемости и наличии свободных рабочих мест;</w:t>
            </w:r>
          </w:p>
          <w:p w14:paraId="275B856D"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ж) сведения о загрязнении окружающей среды, нарушении антимонопольного законодательства, несоблюдении правил охраны труда, реализации продукции, причиняющей вред здоровью потребителей, а также о других нарушениях законодательства и размерах причиненного при этом ущерба;</w:t>
            </w:r>
          </w:p>
          <w:p w14:paraId="7D1A66F5" w14:textId="77777777" w:rsidR="00826FE0" w:rsidRPr="00F009D6" w:rsidRDefault="00826FE0" w:rsidP="00A11565">
            <w:pPr>
              <w:pStyle w:val="tkTekst"/>
              <w:spacing w:line="240" w:lineRule="auto"/>
              <w:rPr>
                <w:rFonts w:ascii="Times New Roman" w:hAnsi="Times New Roman" w:cs="Times New Roman"/>
                <w:sz w:val="24"/>
                <w:szCs w:val="24"/>
                <w:lang w:val="ru-RU"/>
              </w:rPr>
            </w:pPr>
            <w:r w:rsidRPr="00F009D6">
              <w:rPr>
                <w:rFonts w:ascii="Times New Roman" w:hAnsi="Times New Roman" w:cs="Times New Roman"/>
                <w:sz w:val="24"/>
                <w:szCs w:val="24"/>
                <w:lang w:val="ru-RU"/>
              </w:rPr>
              <w:t>з) сведения об участии должностных лиц государственных предприятий в организациях, занимающихся предпринимательской деятельностью.</w:t>
            </w:r>
          </w:p>
          <w:p w14:paraId="78ECC654" w14:textId="77777777" w:rsidR="00826FE0" w:rsidRPr="00F009D6" w:rsidRDefault="00826FE0" w:rsidP="00A11565">
            <w:pPr>
              <w:spacing w:line="240" w:lineRule="auto"/>
              <w:rPr>
                <w:rFonts w:ascii="Times New Roman" w:hAnsi="Times New Roman" w:cs="Times New Roman"/>
                <w:sz w:val="24"/>
                <w:szCs w:val="24"/>
                <w:lang w:val="ru-RU"/>
              </w:rPr>
            </w:pPr>
          </w:p>
        </w:tc>
      </w:tr>
    </w:tbl>
    <w:p w14:paraId="328E8F00" w14:textId="39A2C6B6" w:rsidR="00D14627" w:rsidRPr="00D14627" w:rsidRDefault="00D14627" w:rsidP="00DD1974">
      <w:pPr>
        <w:spacing w:line="240" w:lineRule="auto"/>
        <w:jc w:val="both"/>
        <w:rPr>
          <w:rFonts w:ascii="Times New Roman" w:hAnsi="Times New Roman" w:cs="Times New Roman"/>
          <w:b/>
          <w:i/>
          <w:sz w:val="24"/>
          <w:szCs w:val="24"/>
          <w:lang w:val="ru-RU"/>
        </w:rPr>
      </w:pPr>
      <w:bookmarkStart w:id="1" w:name="_GoBack"/>
      <w:bookmarkEnd w:id="1"/>
    </w:p>
    <w:sectPr w:rsidR="00D14627" w:rsidRPr="00D14627" w:rsidSect="003509CD">
      <w:footerReference w:type="default" r:id="rId8"/>
      <w:pgSz w:w="15840" w:h="12240" w:orient="landscape"/>
      <w:pgMar w:top="850"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549F2" w14:textId="77777777" w:rsidR="0025345B" w:rsidRDefault="0025345B" w:rsidP="00D14627">
      <w:pPr>
        <w:spacing w:after="0" w:line="240" w:lineRule="auto"/>
      </w:pPr>
      <w:r>
        <w:separator/>
      </w:r>
    </w:p>
  </w:endnote>
  <w:endnote w:type="continuationSeparator" w:id="0">
    <w:p w14:paraId="1D06C990" w14:textId="77777777" w:rsidR="0025345B" w:rsidRDefault="0025345B" w:rsidP="00D14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838506"/>
      <w:docPartObj>
        <w:docPartGallery w:val="Page Numbers (Bottom of Page)"/>
        <w:docPartUnique/>
      </w:docPartObj>
    </w:sdtPr>
    <w:sdtEndPr/>
    <w:sdtContent>
      <w:p w14:paraId="37E15718" w14:textId="04D173EA" w:rsidR="00D14627" w:rsidRDefault="00D14627">
        <w:pPr>
          <w:pStyle w:val="ae"/>
          <w:jc w:val="right"/>
        </w:pPr>
        <w:r>
          <w:fldChar w:fldCharType="begin"/>
        </w:r>
        <w:r>
          <w:instrText>PAGE   \* MERGEFORMAT</w:instrText>
        </w:r>
        <w:r>
          <w:fldChar w:fldCharType="separate"/>
        </w:r>
        <w:r w:rsidR="00DD1974" w:rsidRPr="00DD1974">
          <w:rPr>
            <w:noProof/>
            <w:lang w:val="ru-RU"/>
          </w:rPr>
          <w:t>15</w:t>
        </w:r>
        <w:r>
          <w:fldChar w:fldCharType="end"/>
        </w:r>
      </w:p>
    </w:sdtContent>
  </w:sdt>
  <w:p w14:paraId="0226F8FE" w14:textId="77777777" w:rsidR="00D14627" w:rsidRDefault="00D1462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16F57" w14:textId="77777777" w:rsidR="0025345B" w:rsidRDefault="0025345B" w:rsidP="00D14627">
      <w:pPr>
        <w:spacing w:after="0" w:line="240" w:lineRule="auto"/>
      </w:pPr>
      <w:r>
        <w:separator/>
      </w:r>
    </w:p>
  </w:footnote>
  <w:footnote w:type="continuationSeparator" w:id="0">
    <w:p w14:paraId="58A764E6" w14:textId="77777777" w:rsidR="0025345B" w:rsidRDefault="0025345B" w:rsidP="00D146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CEA"/>
    <w:rsid w:val="00002774"/>
    <w:rsid w:val="00034B47"/>
    <w:rsid w:val="0005266F"/>
    <w:rsid w:val="000537B2"/>
    <w:rsid w:val="0009680B"/>
    <w:rsid w:val="000A2EC5"/>
    <w:rsid w:val="000A5F39"/>
    <w:rsid w:val="000B1166"/>
    <w:rsid w:val="000B3C93"/>
    <w:rsid w:val="000D3478"/>
    <w:rsid w:val="00102793"/>
    <w:rsid w:val="00111222"/>
    <w:rsid w:val="001135BC"/>
    <w:rsid w:val="00124FB9"/>
    <w:rsid w:val="00160DA5"/>
    <w:rsid w:val="00163C28"/>
    <w:rsid w:val="00171590"/>
    <w:rsid w:val="00172172"/>
    <w:rsid w:val="00180621"/>
    <w:rsid w:val="00183A5A"/>
    <w:rsid w:val="00197310"/>
    <w:rsid w:val="001A214B"/>
    <w:rsid w:val="001C7DBC"/>
    <w:rsid w:val="001D7983"/>
    <w:rsid w:val="001E16F7"/>
    <w:rsid w:val="00205C14"/>
    <w:rsid w:val="00251734"/>
    <w:rsid w:val="0025345B"/>
    <w:rsid w:val="00264D90"/>
    <w:rsid w:val="002735C9"/>
    <w:rsid w:val="002C4230"/>
    <w:rsid w:val="00303A95"/>
    <w:rsid w:val="003175EB"/>
    <w:rsid w:val="0034278E"/>
    <w:rsid w:val="003509CD"/>
    <w:rsid w:val="00356F41"/>
    <w:rsid w:val="00362503"/>
    <w:rsid w:val="00364B73"/>
    <w:rsid w:val="00391F53"/>
    <w:rsid w:val="0039692F"/>
    <w:rsid w:val="003D5E4F"/>
    <w:rsid w:val="003E748F"/>
    <w:rsid w:val="004150E7"/>
    <w:rsid w:val="0047144A"/>
    <w:rsid w:val="004E0856"/>
    <w:rsid w:val="004F5E73"/>
    <w:rsid w:val="00570A40"/>
    <w:rsid w:val="00583E5E"/>
    <w:rsid w:val="00594E5F"/>
    <w:rsid w:val="005D5ABC"/>
    <w:rsid w:val="00653E57"/>
    <w:rsid w:val="00693EA7"/>
    <w:rsid w:val="006A2AC0"/>
    <w:rsid w:val="006A5AC9"/>
    <w:rsid w:val="006B31A3"/>
    <w:rsid w:val="006D28B9"/>
    <w:rsid w:val="00737040"/>
    <w:rsid w:val="00762E8C"/>
    <w:rsid w:val="00767362"/>
    <w:rsid w:val="0079527F"/>
    <w:rsid w:val="007C37D5"/>
    <w:rsid w:val="007C4238"/>
    <w:rsid w:val="007F4D6E"/>
    <w:rsid w:val="0080685A"/>
    <w:rsid w:val="0081450E"/>
    <w:rsid w:val="00825FE5"/>
    <w:rsid w:val="00826FE0"/>
    <w:rsid w:val="00833C9E"/>
    <w:rsid w:val="00864880"/>
    <w:rsid w:val="0087447D"/>
    <w:rsid w:val="00881119"/>
    <w:rsid w:val="008879DE"/>
    <w:rsid w:val="0089576C"/>
    <w:rsid w:val="008C7850"/>
    <w:rsid w:val="008D5BE3"/>
    <w:rsid w:val="009030A4"/>
    <w:rsid w:val="00924D58"/>
    <w:rsid w:val="00940767"/>
    <w:rsid w:val="009678EE"/>
    <w:rsid w:val="009709D5"/>
    <w:rsid w:val="009871D7"/>
    <w:rsid w:val="00990888"/>
    <w:rsid w:val="009D2AF9"/>
    <w:rsid w:val="00A11565"/>
    <w:rsid w:val="00A12D44"/>
    <w:rsid w:val="00A16D57"/>
    <w:rsid w:val="00A5230E"/>
    <w:rsid w:val="00A743EE"/>
    <w:rsid w:val="00A8480F"/>
    <w:rsid w:val="00AC7CEA"/>
    <w:rsid w:val="00B50994"/>
    <w:rsid w:val="00B52D91"/>
    <w:rsid w:val="00B64145"/>
    <w:rsid w:val="00B85674"/>
    <w:rsid w:val="00B91AFD"/>
    <w:rsid w:val="00B92B17"/>
    <w:rsid w:val="00C12D6D"/>
    <w:rsid w:val="00C65A02"/>
    <w:rsid w:val="00CA2440"/>
    <w:rsid w:val="00CD0347"/>
    <w:rsid w:val="00CD687E"/>
    <w:rsid w:val="00D13EDA"/>
    <w:rsid w:val="00D14627"/>
    <w:rsid w:val="00D567BD"/>
    <w:rsid w:val="00D77FD7"/>
    <w:rsid w:val="00DD1974"/>
    <w:rsid w:val="00DE023A"/>
    <w:rsid w:val="00E07057"/>
    <w:rsid w:val="00E218B1"/>
    <w:rsid w:val="00E26F82"/>
    <w:rsid w:val="00E508B4"/>
    <w:rsid w:val="00E6034D"/>
    <w:rsid w:val="00E61C4C"/>
    <w:rsid w:val="00E7468E"/>
    <w:rsid w:val="00EB5BDD"/>
    <w:rsid w:val="00EC3BC1"/>
    <w:rsid w:val="00EC4809"/>
    <w:rsid w:val="00F051C3"/>
    <w:rsid w:val="00F9220A"/>
    <w:rsid w:val="00FA0895"/>
    <w:rsid w:val="00FA405B"/>
    <w:rsid w:val="00FC25E0"/>
    <w:rsid w:val="00FE4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92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CEA"/>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7CE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AC7CEA"/>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AC7CEA"/>
    <w:pPr>
      <w:spacing w:after="60" w:line="276" w:lineRule="auto"/>
      <w:ind w:firstLine="567"/>
      <w:jc w:val="both"/>
    </w:pPr>
    <w:rPr>
      <w:rFonts w:ascii="Arial" w:eastAsia="Times New Roman" w:hAnsi="Arial" w:cs="Arial"/>
      <w:sz w:val="20"/>
      <w:szCs w:val="20"/>
    </w:rPr>
  </w:style>
  <w:style w:type="character" w:styleId="a4">
    <w:name w:val="Hyperlink"/>
    <w:basedOn w:val="a0"/>
    <w:uiPriority w:val="99"/>
    <w:semiHidden/>
    <w:unhideWhenUsed/>
    <w:rsid w:val="00AC7CEA"/>
    <w:rPr>
      <w:color w:val="0000FF"/>
      <w:u w:val="single"/>
    </w:rPr>
  </w:style>
  <w:style w:type="paragraph" w:customStyle="1" w:styleId="tkRedakcijaTekst">
    <w:name w:val="_В редакции текст (tkRedakcijaTekst)"/>
    <w:basedOn w:val="a"/>
    <w:rsid w:val="00AC7CEA"/>
    <w:pPr>
      <w:spacing w:after="60" w:line="276" w:lineRule="auto"/>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AC7CEA"/>
    <w:pPr>
      <w:spacing w:after="60" w:line="276" w:lineRule="auto"/>
      <w:ind w:firstLine="567"/>
      <w:jc w:val="both"/>
    </w:pPr>
    <w:rPr>
      <w:rFonts w:ascii="Arial" w:eastAsia="Times New Roman" w:hAnsi="Arial" w:cs="Arial"/>
      <w:i/>
      <w:iCs/>
      <w:color w:val="006600"/>
      <w:sz w:val="20"/>
      <w:szCs w:val="20"/>
    </w:rPr>
  </w:style>
  <w:style w:type="character" w:styleId="a5">
    <w:name w:val="annotation reference"/>
    <w:basedOn w:val="a0"/>
    <w:uiPriority w:val="99"/>
    <w:semiHidden/>
    <w:unhideWhenUsed/>
    <w:rsid w:val="003175EB"/>
    <w:rPr>
      <w:sz w:val="16"/>
      <w:szCs w:val="16"/>
    </w:rPr>
  </w:style>
  <w:style w:type="paragraph" w:styleId="a6">
    <w:name w:val="annotation text"/>
    <w:basedOn w:val="a"/>
    <w:link w:val="a7"/>
    <w:uiPriority w:val="99"/>
    <w:semiHidden/>
    <w:unhideWhenUsed/>
    <w:rsid w:val="003175EB"/>
    <w:pPr>
      <w:spacing w:line="240" w:lineRule="auto"/>
    </w:pPr>
    <w:rPr>
      <w:sz w:val="20"/>
      <w:szCs w:val="20"/>
    </w:rPr>
  </w:style>
  <w:style w:type="character" w:customStyle="1" w:styleId="a7">
    <w:name w:val="Текст примечания Знак"/>
    <w:basedOn w:val="a0"/>
    <w:link w:val="a6"/>
    <w:uiPriority w:val="99"/>
    <w:semiHidden/>
    <w:rsid w:val="003175EB"/>
    <w:rPr>
      <w:sz w:val="20"/>
      <w:szCs w:val="20"/>
      <w:lang w:val="en-US"/>
    </w:rPr>
  </w:style>
  <w:style w:type="paragraph" w:styleId="a8">
    <w:name w:val="annotation subject"/>
    <w:basedOn w:val="a6"/>
    <w:next w:val="a6"/>
    <w:link w:val="a9"/>
    <w:uiPriority w:val="99"/>
    <w:semiHidden/>
    <w:unhideWhenUsed/>
    <w:rsid w:val="003175EB"/>
    <w:rPr>
      <w:b/>
      <w:bCs/>
    </w:rPr>
  </w:style>
  <w:style w:type="character" w:customStyle="1" w:styleId="a9">
    <w:name w:val="Тема примечания Знак"/>
    <w:basedOn w:val="a7"/>
    <w:link w:val="a8"/>
    <w:uiPriority w:val="99"/>
    <w:semiHidden/>
    <w:rsid w:val="003175EB"/>
    <w:rPr>
      <w:b/>
      <w:bCs/>
      <w:sz w:val="20"/>
      <w:szCs w:val="20"/>
      <w:lang w:val="en-US"/>
    </w:rPr>
  </w:style>
  <w:style w:type="paragraph" w:styleId="aa">
    <w:name w:val="Balloon Text"/>
    <w:basedOn w:val="a"/>
    <w:link w:val="ab"/>
    <w:uiPriority w:val="99"/>
    <w:semiHidden/>
    <w:unhideWhenUsed/>
    <w:rsid w:val="003175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175EB"/>
    <w:rPr>
      <w:rFonts w:ascii="Tahoma" w:hAnsi="Tahoma" w:cs="Tahoma"/>
      <w:sz w:val="16"/>
      <w:szCs w:val="16"/>
      <w:lang w:val="en-US"/>
    </w:rPr>
  </w:style>
  <w:style w:type="paragraph" w:styleId="ac">
    <w:name w:val="header"/>
    <w:basedOn w:val="a"/>
    <w:link w:val="ad"/>
    <w:uiPriority w:val="99"/>
    <w:unhideWhenUsed/>
    <w:rsid w:val="00D1462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14627"/>
    <w:rPr>
      <w:lang w:val="en-US"/>
    </w:rPr>
  </w:style>
  <w:style w:type="paragraph" w:styleId="ae">
    <w:name w:val="footer"/>
    <w:basedOn w:val="a"/>
    <w:link w:val="af"/>
    <w:uiPriority w:val="99"/>
    <w:unhideWhenUsed/>
    <w:rsid w:val="00D1462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14627"/>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CEA"/>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7CE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AC7CEA"/>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AC7CEA"/>
    <w:pPr>
      <w:spacing w:after="60" w:line="276" w:lineRule="auto"/>
      <w:ind w:firstLine="567"/>
      <w:jc w:val="both"/>
    </w:pPr>
    <w:rPr>
      <w:rFonts w:ascii="Arial" w:eastAsia="Times New Roman" w:hAnsi="Arial" w:cs="Arial"/>
      <w:sz w:val="20"/>
      <w:szCs w:val="20"/>
    </w:rPr>
  </w:style>
  <w:style w:type="character" w:styleId="a4">
    <w:name w:val="Hyperlink"/>
    <w:basedOn w:val="a0"/>
    <w:uiPriority w:val="99"/>
    <w:semiHidden/>
    <w:unhideWhenUsed/>
    <w:rsid w:val="00AC7CEA"/>
    <w:rPr>
      <w:color w:val="0000FF"/>
      <w:u w:val="single"/>
    </w:rPr>
  </w:style>
  <w:style w:type="paragraph" w:customStyle="1" w:styleId="tkRedakcijaTekst">
    <w:name w:val="_В редакции текст (tkRedakcijaTekst)"/>
    <w:basedOn w:val="a"/>
    <w:rsid w:val="00AC7CEA"/>
    <w:pPr>
      <w:spacing w:after="60" w:line="276" w:lineRule="auto"/>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AC7CEA"/>
    <w:pPr>
      <w:spacing w:after="60" w:line="276" w:lineRule="auto"/>
      <w:ind w:firstLine="567"/>
      <w:jc w:val="both"/>
    </w:pPr>
    <w:rPr>
      <w:rFonts w:ascii="Arial" w:eastAsia="Times New Roman" w:hAnsi="Arial" w:cs="Arial"/>
      <w:i/>
      <w:iCs/>
      <w:color w:val="006600"/>
      <w:sz w:val="20"/>
      <w:szCs w:val="20"/>
    </w:rPr>
  </w:style>
  <w:style w:type="character" w:styleId="a5">
    <w:name w:val="annotation reference"/>
    <w:basedOn w:val="a0"/>
    <w:uiPriority w:val="99"/>
    <w:semiHidden/>
    <w:unhideWhenUsed/>
    <w:rsid w:val="003175EB"/>
    <w:rPr>
      <w:sz w:val="16"/>
      <w:szCs w:val="16"/>
    </w:rPr>
  </w:style>
  <w:style w:type="paragraph" w:styleId="a6">
    <w:name w:val="annotation text"/>
    <w:basedOn w:val="a"/>
    <w:link w:val="a7"/>
    <w:uiPriority w:val="99"/>
    <w:semiHidden/>
    <w:unhideWhenUsed/>
    <w:rsid w:val="003175EB"/>
    <w:pPr>
      <w:spacing w:line="240" w:lineRule="auto"/>
    </w:pPr>
    <w:rPr>
      <w:sz w:val="20"/>
      <w:szCs w:val="20"/>
    </w:rPr>
  </w:style>
  <w:style w:type="character" w:customStyle="1" w:styleId="a7">
    <w:name w:val="Текст примечания Знак"/>
    <w:basedOn w:val="a0"/>
    <w:link w:val="a6"/>
    <w:uiPriority w:val="99"/>
    <w:semiHidden/>
    <w:rsid w:val="003175EB"/>
    <w:rPr>
      <w:sz w:val="20"/>
      <w:szCs w:val="20"/>
      <w:lang w:val="en-US"/>
    </w:rPr>
  </w:style>
  <w:style w:type="paragraph" w:styleId="a8">
    <w:name w:val="annotation subject"/>
    <w:basedOn w:val="a6"/>
    <w:next w:val="a6"/>
    <w:link w:val="a9"/>
    <w:uiPriority w:val="99"/>
    <w:semiHidden/>
    <w:unhideWhenUsed/>
    <w:rsid w:val="003175EB"/>
    <w:rPr>
      <w:b/>
      <w:bCs/>
    </w:rPr>
  </w:style>
  <w:style w:type="character" w:customStyle="1" w:styleId="a9">
    <w:name w:val="Тема примечания Знак"/>
    <w:basedOn w:val="a7"/>
    <w:link w:val="a8"/>
    <w:uiPriority w:val="99"/>
    <w:semiHidden/>
    <w:rsid w:val="003175EB"/>
    <w:rPr>
      <w:b/>
      <w:bCs/>
      <w:sz w:val="20"/>
      <w:szCs w:val="20"/>
      <w:lang w:val="en-US"/>
    </w:rPr>
  </w:style>
  <w:style w:type="paragraph" w:styleId="aa">
    <w:name w:val="Balloon Text"/>
    <w:basedOn w:val="a"/>
    <w:link w:val="ab"/>
    <w:uiPriority w:val="99"/>
    <w:semiHidden/>
    <w:unhideWhenUsed/>
    <w:rsid w:val="003175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175EB"/>
    <w:rPr>
      <w:rFonts w:ascii="Tahoma" w:hAnsi="Tahoma" w:cs="Tahoma"/>
      <w:sz w:val="16"/>
      <w:szCs w:val="16"/>
      <w:lang w:val="en-US"/>
    </w:rPr>
  </w:style>
  <w:style w:type="paragraph" w:styleId="ac">
    <w:name w:val="header"/>
    <w:basedOn w:val="a"/>
    <w:link w:val="ad"/>
    <w:uiPriority w:val="99"/>
    <w:unhideWhenUsed/>
    <w:rsid w:val="00D1462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14627"/>
    <w:rPr>
      <w:lang w:val="en-US"/>
    </w:rPr>
  </w:style>
  <w:style w:type="paragraph" w:styleId="ae">
    <w:name w:val="footer"/>
    <w:basedOn w:val="a"/>
    <w:link w:val="af"/>
    <w:uiPriority w:val="99"/>
    <w:unhideWhenUsed/>
    <w:rsid w:val="00D1462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1462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26261">
      <w:bodyDiv w:val="1"/>
      <w:marLeft w:val="0"/>
      <w:marRight w:val="0"/>
      <w:marTop w:val="0"/>
      <w:marBottom w:val="0"/>
      <w:divBdr>
        <w:top w:val="none" w:sz="0" w:space="0" w:color="auto"/>
        <w:left w:val="none" w:sz="0" w:space="0" w:color="auto"/>
        <w:bottom w:val="none" w:sz="0" w:space="0" w:color="auto"/>
        <w:right w:val="none" w:sz="0" w:space="0" w:color="auto"/>
      </w:divBdr>
    </w:div>
    <w:div w:id="227421764">
      <w:bodyDiv w:val="1"/>
      <w:marLeft w:val="0"/>
      <w:marRight w:val="0"/>
      <w:marTop w:val="0"/>
      <w:marBottom w:val="0"/>
      <w:divBdr>
        <w:top w:val="none" w:sz="0" w:space="0" w:color="auto"/>
        <w:left w:val="none" w:sz="0" w:space="0" w:color="auto"/>
        <w:bottom w:val="none" w:sz="0" w:space="0" w:color="auto"/>
        <w:right w:val="none" w:sz="0" w:space="0" w:color="auto"/>
      </w:divBdr>
    </w:div>
    <w:div w:id="814419524">
      <w:bodyDiv w:val="1"/>
      <w:marLeft w:val="0"/>
      <w:marRight w:val="0"/>
      <w:marTop w:val="0"/>
      <w:marBottom w:val="0"/>
      <w:divBdr>
        <w:top w:val="none" w:sz="0" w:space="0" w:color="auto"/>
        <w:left w:val="none" w:sz="0" w:space="0" w:color="auto"/>
        <w:bottom w:val="none" w:sz="0" w:space="0" w:color="auto"/>
        <w:right w:val="none" w:sz="0" w:space="0" w:color="auto"/>
      </w:divBdr>
    </w:div>
    <w:div w:id="820120242">
      <w:bodyDiv w:val="1"/>
      <w:marLeft w:val="0"/>
      <w:marRight w:val="0"/>
      <w:marTop w:val="0"/>
      <w:marBottom w:val="0"/>
      <w:divBdr>
        <w:top w:val="none" w:sz="0" w:space="0" w:color="auto"/>
        <w:left w:val="none" w:sz="0" w:space="0" w:color="auto"/>
        <w:bottom w:val="none" w:sz="0" w:space="0" w:color="auto"/>
        <w:right w:val="none" w:sz="0" w:space="0" w:color="auto"/>
      </w:divBdr>
    </w:div>
    <w:div w:id="882518308">
      <w:bodyDiv w:val="1"/>
      <w:marLeft w:val="0"/>
      <w:marRight w:val="0"/>
      <w:marTop w:val="0"/>
      <w:marBottom w:val="0"/>
      <w:divBdr>
        <w:top w:val="none" w:sz="0" w:space="0" w:color="auto"/>
        <w:left w:val="none" w:sz="0" w:space="0" w:color="auto"/>
        <w:bottom w:val="none" w:sz="0" w:space="0" w:color="auto"/>
        <w:right w:val="none" w:sz="0" w:space="0" w:color="auto"/>
      </w:divBdr>
    </w:div>
    <w:div w:id="1350988662">
      <w:bodyDiv w:val="1"/>
      <w:marLeft w:val="0"/>
      <w:marRight w:val="0"/>
      <w:marTop w:val="0"/>
      <w:marBottom w:val="0"/>
      <w:divBdr>
        <w:top w:val="none" w:sz="0" w:space="0" w:color="auto"/>
        <w:left w:val="none" w:sz="0" w:space="0" w:color="auto"/>
        <w:bottom w:val="none" w:sz="0" w:space="0" w:color="auto"/>
        <w:right w:val="none" w:sz="0" w:space="0" w:color="auto"/>
      </w:divBdr>
    </w:div>
    <w:div w:id="1393312882">
      <w:bodyDiv w:val="1"/>
      <w:marLeft w:val="0"/>
      <w:marRight w:val="0"/>
      <w:marTop w:val="0"/>
      <w:marBottom w:val="0"/>
      <w:divBdr>
        <w:top w:val="none" w:sz="0" w:space="0" w:color="auto"/>
        <w:left w:val="none" w:sz="0" w:space="0" w:color="auto"/>
        <w:bottom w:val="none" w:sz="0" w:space="0" w:color="auto"/>
        <w:right w:val="none" w:sz="0" w:space="0" w:color="auto"/>
      </w:divBdr>
    </w:div>
    <w:div w:id="1434327737">
      <w:bodyDiv w:val="1"/>
      <w:marLeft w:val="0"/>
      <w:marRight w:val="0"/>
      <w:marTop w:val="0"/>
      <w:marBottom w:val="0"/>
      <w:divBdr>
        <w:top w:val="none" w:sz="0" w:space="0" w:color="auto"/>
        <w:left w:val="none" w:sz="0" w:space="0" w:color="auto"/>
        <w:bottom w:val="none" w:sz="0" w:space="0" w:color="auto"/>
        <w:right w:val="none" w:sz="0" w:space="0" w:color="auto"/>
      </w:divBdr>
    </w:div>
    <w:div w:id="1950156909">
      <w:bodyDiv w:val="1"/>
      <w:marLeft w:val="0"/>
      <w:marRight w:val="0"/>
      <w:marTop w:val="0"/>
      <w:marBottom w:val="0"/>
      <w:divBdr>
        <w:top w:val="none" w:sz="0" w:space="0" w:color="auto"/>
        <w:left w:val="none" w:sz="0" w:space="0" w:color="auto"/>
        <w:bottom w:val="none" w:sz="0" w:space="0" w:color="auto"/>
        <w:right w:val="none" w:sz="0" w:space="0" w:color="auto"/>
      </w:divBdr>
    </w:div>
    <w:div w:id="1993479639">
      <w:bodyDiv w:val="1"/>
      <w:marLeft w:val="0"/>
      <w:marRight w:val="0"/>
      <w:marTop w:val="0"/>
      <w:marBottom w:val="0"/>
      <w:divBdr>
        <w:top w:val="none" w:sz="0" w:space="0" w:color="auto"/>
        <w:left w:val="none" w:sz="0" w:space="0" w:color="auto"/>
        <w:bottom w:val="none" w:sz="0" w:space="0" w:color="auto"/>
        <w:right w:val="none" w:sz="0" w:space="0" w:color="auto"/>
      </w:divBdr>
    </w:div>
    <w:div w:id="2006128824">
      <w:bodyDiv w:val="1"/>
      <w:marLeft w:val="0"/>
      <w:marRight w:val="0"/>
      <w:marTop w:val="0"/>
      <w:marBottom w:val="0"/>
      <w:divBdr>
        <w:top w:val="none" w:sz="0" w:space="0" w:color="auto"/>
        <w:left w:val="none" w:sz="0" w:space="0" w:color="auto"/>
        <w:bottom w:val="none" w:sz="0" w:space="0" w:color="auto"/>
        <w:right w:val="none" w:sz="0" w:space="0" w:color="auto"/>
      </w:divBdr>
    </w:div>
    <w:div w:id="2023583542">
      <w:bodyDiv w:val="1"/>
      <w:marLeft w:val="0"/>
      <w:marRight w:val="0"/>
      <w:marTop w:val="0"/>
      <w:marBottom w:val="0"/>
      <w:divBdr>
        <w:top w:val="none" w:sz="0" w:space="0" w:color="auto"/>
        <w:left w:val="none" w:sz="0" w:space="0" w:color="auto"/>
        <w:bottom w:val="none" w:sz="0" w:space="0" w:color="auto"/>
        <w:right w:val="none" w:sz="0" w:space="0" w:color="auto"/>
      </w:divBdr>
    </w:div>
    <w:div w:id="207874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6D024-B223-4945-9477-C08A874B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6576</Words>
  <Characters>37488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Эльдана Сатарова</dc:creator>
  <cp:lastModifiedBy>Жылдыз Кенжебаева</cp:lastModifiedBy>
  <cp:revision>5</cp:revision>
  <dcterms:created xsi:type="dcterms:W3CDTF">2022-01-12T05:02:00Z</dcterms:created>
  <dcterms:modified xsi:type="dcterms:W3CDTF">2022-02-24T11:13:00Z</dcterms:modified>
</cp:coreProperties>
</file>